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D5108" w:rsidRDefault="00AC7731" w:rsidP="006D4E11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" o:spid="_x0000_s2050" type="#_x0000_t75" alt="" style="position:absolute;margin-left:310.7pt;margin-top:-.15pt;width:154.2pt;height:113.35pt;z-index:-251658752;visibility:visible;mso-wrap-edited:f;mso-width-percent:0;mso-height-percent:0;mso-width-percent:0;mso-height-percent:0" wrapcoords="-105 0 -105 21457 21600 21457 21600 0 -105 0">
            <v:imagedata r:id="rId10" o:title=""/>
            <w10:wrap type="tight"/>
          </v:shape>
        </w:pict>
      </w:r>
      <w:r w:rsidR="006D4E11" w:rsidRPr="004D5108">
        <w:rPr>
          <w:rFonts w:ascii="Arial" w:hAnsi="Arial" w:cs="Arial"/>
        </w:rPr>
        <w:t>Ausschreibungstext</w:t>
      </w:r>
    </w:p>
    <w:p w:rsidR="001B336C" w:rsidRDefault="00B065D4" w:rsidP="001B336C">
      <w:pPr>
        <w:pStyle w:val="berschrift1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Präsenz</w:t>
      </w:r>
      <w:r w:rsidR="00427F4D">
        <w:rPr>
          <w:rFonts w:ascii="Arial" w:hAnsi="Arial" w:cs="Arial"/>
          <w:szCs w:val="28"/>
        </w:rPr>
        <w:t>melder</w:t>
      </w:r>
    </w:p>
    <w:p w:rsidR="00D00BF0" w:rsidRPr="00CB5468" w:rsidRDefault="00B065D4" w:rsidP="001B336C">
      <w:pPr>
        <w:pStyle w:val="berschrift1"/>
        <w:rPr>
          <w:rFonts w:ascii="Arial" w:hAnsi="Arial" w:cs="Arial"/>
          <w:szCs w:val="28"/>
          <w:lang w:val="en-US"/>
        </w:rPr>
      </w:pPr>
      <w:r w:rsidRPr="00CB5468">
        <w:rPr>
          <w:rFonts w:ascii="Arial" w:hAnsi="Arial" w:cs="Arial"/>
          <w:szCs w:val="28"/>
          <w:lang w:val="en-US"/>
        </w:rPr>
        <w:t>LUXA 103 S360-</w:t>
      </w:r>
      <w:r w:rsidR="00A15EDF">
        <w:rPr>
          <w:rFonts w:ascii="Arial" w:hAnsi="Arial" w:cs="Arial"/>
          <w:szCs w:val="28"/>
          <w:lang w:val="en-US"/>
        </w:rPr>
        <w:t>28</w:t>
      </w:r>
      <w:r w:rsidRPr="00CB5468">
        <w:rPr>
          <w:rFonts w:ascii="Arial" w:hAnsi="Arial" w:cs="Arial"/>
          <w:szCs w:val="28"/>
          <w:lang w:val="en-US"/>
        </w:rPr>
        <w:t xml:space="preserve"> </w:t>
      </w:r>
      <w:r w:rsidR="008625FB" w:rsidRPr="00CB5468">
        <w:rPr>
          <w:rFonts w:ascii="Arial" w:hAnsi="Arial" w:cs="Arial"/>
          <w:szCs w:val="28"/>
          <w:lang w:val="en-US"/>
        </w:rPr>
        <w:t xml:space="preserve">KNX </w:t>
      </w:r>
      <w:r w:rsidRPr="00CB5468">
        <w:rPr>
          <w:rFonts w:ascii="Arial" w:hAnsi="Arial" w:cs="Arial"/>
          <w:szCs w:val="28"/>
          <w:lang w:val="en-US"/>
        </w:rPr>
        <w:t>UP WH</w:t>
      </w:r>
    </w:p>
    <w:p w:rsidR="00427F4D" w:rsidRPr="004D5108" w:rsidRDefault="00427F4D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Bestell-Nr. Weiß: </w:t>
      </w:r>
      <w:r w:rsidR="00B065D4">
        <w:rPr>
          <w:rFonts w:ascii="Arial" w:hAnsi="Arial" w:cs="Arial"/>
          <w:b/>
          <w:sz w:val="20"/>
        </w:rPr>
        <w:t>103</w:t>
      </w:r>
      <w:r w:rsidR="008625FB">
        <w:rPr>
          <w:rFonts w:ascii="Arial" w:hAnsi="Arial" w:cs="Arial"/>
          <w:b/>
          <w:sz w:val="20"/>
        </w:rPr>
        <w:t>9</w:t>
      </w:r>
      <w:r w:rsidR="00B065D4">
        <w:rPr>
          <w:rFonts w:ascii="Arial" w:hAnsi="Arial" w:cs="Arial"/>
          <w:b/>
          <w:sz w:val="20"/>
        </w:rPr>
        <w:t>0</w:t>
      </w:r>
      <w:r w:rsidR="00CB5468">
        <w:rPr>
          <w:rFonts w:ascii="Arial" w:hAnsi="Arial" w:cs="Arial"/>
          <w:b/>
          <w:sz w:val="20"/>
        </w:rPr>
        <w:t>7</w:t>
      </w:r>
      <w:r w:rsidR="00B065D4">
        <w:rPr>
          <w:rFonts w:ascii="Arial" w:hAnsi="Arial" w:cs="Arial"/>
          <w:b/>
          <w:sz w:val="20"/>
        </w:rPr>
        <w:t>2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Merkmale</w:t>
      </w:r>
      <w:r w:rsidR="006C784A" w:rsidRPr="004D5108">
        <w:rPr>
          <w:rFonts w:ascii="Arial" w:hAnsi="Arial" w:cs="Arial"/>
          <w:u w:val="single"/>
          <w:lang w:val="de-DE"/>
        </w:rPr>
        <w:t>:</w:t>
      </w:r>
      <w:r w:rsidR="00E92A11" w:rsidRPr="00E92A11"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5A37FF" w:rsidRPr="003B47C4" w:rsidRDefault="005A37FF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3B47C4">
        <w:rPr>
          <w:rFonts w:ascii="Arial" w:hAnsi="Arial" w:cs="Arial"/>
          <w:lang w:val="de-DE"/>
        </w:rPr>
        <w:t xml:space="preserve">Passiv-Infrarot-Präsenzmelder, </w:t>
      </w:r>
      <w:r w:rsidR="008625FB" w:rsidRPr="003B47C4">
        <w:rPr>
          <w:rFonts w:ascii="Arial" w:hAnsi="Arial" w:cs="Arial"/>
          <w:lang w:val="de-DE"/>
        </w:rPr>
        <w:t xml:space="preserve">Unterputzmontage </w:t>
      </w:r>
      <w:r w:rsidRPr="003B47C4">
        <w:rPr>
          <w:rFonts w:ascii="Arial" w:hAnsi="Arial" w:cs="Arial"/>
          <w:lang w:val="de-DE"/>
        </w:rPr>
        <w:t xml:space="preserve">im Auslieferzustand </w:t>
      </w:r>
      <w:r w:rsidR="008625FB" w:rsidRPr="003B47C4">
        <w:rPr>
          <w:rFonts w:ascii="Arial" w:hAnsi="Arial" w:cs="Arial"/>
          <w:lang w:val="de-DE"/>
        </w:rPr>
        <w:t>mit</w:t>
      </w:r>
      <w:r w:rsidRPr="003B47C4">
        <w:rPr>
          <w:rFonts w:ascii="Arial" w:hAnsi="Arial" w:cs="Arial"/>
          <w:lang w:val="de-DE"/>
        </w:rPr>
        <w:t xml:space="preserve"> beigelegten Montagerahmen</w:t>
      </w:r>
    </w:p>
    <w:p w:rsidR="005A37FF" w:rsidRPr="003B47C4" w:rsidRDefault="00CB5468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Rechteckiger</w:t>
      </w:r>
      <w:r w:rsidR="005A37FF" w:rsidRPr="003B47C4">
        <w:rPr>
          <w:rFonts w:ascii="Arial" w:hAnsi="Arial" w:cs="Arial"/>
          <w:lang w:val="de-DE"/>
        </w:rPr>
        <w:t xml:space="preserve"> Erfassungsbereich 360°, 2</w:t>
      </w:r>
      <w:r>
        <w:rPr>
          <w:rFonts w:ascii="Arial" w:hAnsi="Arial" w:cs="Arial"/>
          <w:lang w:val="de-DE"/>
        </w:rPr>
        <w:t>8 x 5</w:t>
      </w:r>
      <w:r w:rsidR="005A37FF" w:rsidRPr="003B47C4">
        <w:rPr>
          <w:rFonts w:ascii="Arial" w:hAnsi="Arial" w:cs="Arial"/>
          <w:lang w:val="de-DE"/>
        </w:rPr>
        <w:t xml:space="preserve"> m (1</w:t>
      </w:r>
      <w:r>
        <w:rPr>
          <w:rFonts w:ascii="Arial" w:hAnsi="Arial" w:cs="Arial"/>
          <w:lang w:val="de-DE"/>
        </w:rPr>
        <w:t>40</w:t>
      </w:r>
      <w:r w:rsidR="005A37FF" w:rsidRPr="003B47C4">
        <w:rPr>
          <w:rFonts w:ascii="Arial" w:hAnsi="Arial" w:cs="Arial"/>
          <w:lang w:val="de-DE"/>
        </w:rPr>
        <w:t xml:space="preserve"> m²) bei 3 m Montagehöhe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3B47C4">
        <w:rPr>
          <w:rFonts w:ascii="Arial" w:hAnsi="Arial" w:cs="Arial"/>
          <w:lang w:val="de-DE"/>
        </w:rPr>
        <w:t>Einschränkung des Erfassungsbereichs mit Abdeckclips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spacing w:val="-3"/>
          <w:lang w:val="de-DE"/>
        </w:rPr>
      </w:pPr>
      <w:r w:rsidRPr="003B47C4">
        <w:rPr>
          <w:rFonts w:ascii="Arial" w:hAnsi="Arial" w:cs="Arial"/>
          <w:lang w:val="de-DE"/>
        </w:rPr>
        <w:t xml:space="preserve">Auch für Anwendungen im Außenbereich geeignet, durch Umstellen des Installationsorts reduziert sich der Erfassungsbereich auf </w:t>
      </w:r>
      <w:r w:rsidR="00CB5468">
        <w:rPr>
          <w:rFonts w:ascii="Arial" w:hAnsi="Arial" w:cs="Arial"/>
          <w:lang w:val="de-DE"/>
        </w:rPr>
        <w:t>12 x 5</w:t>
      </w:r>
      <w:r w:rsidRPr="003B47C4">
        <w:rPr>
          <w:rFonts w:ascii="Arial" w:hAnsi="Arial" w:cs="Arial"/>
          <w:lang w:val="de-DE"/>
        </w:rPr>
        <w:t xml:space="preserve"> m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3B47C4">
        <w:rPr>
          <w:rFonts w:ascii="Arial" w:hAnsi="Arial" w:cs="Arial"/>
          <w:lang w:val="de-DE"/>
        </w:rPr>
        <w:t>Schutzart IP 54 (im eingebauten Zustand)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bookmarkStart w:id="0" w:name="_Hlk101508844"/>
      <w:r w:rsidRPr="003B47C4">
        <w:rPr>
          <w:rFonts w:ascii="Arial" w:hAnsi="Arial" w:cs="Arial"/>
          <w:lang w:val="de-DE"/>
        </w:rPr>
        <w:t xml:space="preserve">Aufbauhöhe im eingebauten Zustand nur </w:t>
      </w:r>
      <w:r w:rsidR="00CB5468">
        <w:rPr>
          <w:rFonts w:ascii="Arial" w:hAnsi="Arial" w:cs="Arial"/>
          <w:lang w:val="de-DE"/>
        </w:rPr>
        <w:t>31</w:t>
      </w:r>
      <w:r w:rsidRPr="003B47C4">
        <w:rPr>
          <w:rFonts w:ascii="Arial" w:hAnsi="Arial" w:cs="Arial"/>
          <w:lang w:val="de-DE"/>
        </w:rPr>
        <w:t xml:space="preserve"> mm, Durchmesser 80 mm</w:t>
      </w:r>
      <w:bookmarkEnd w:id="0"/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KNX Data Secure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Automatische präsenz- und helligkeitsabhängige Steuerung für Beleuchtung und HLK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Schalten oder Konstantlichtregelung mit Stand-by-Funktionalität (Orientierungslicht)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 xml:space="preserve">Wählbare Regelgeschwindigkeit 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Dimmbare Beleuchtung im Schaltbetrieb mit und ohne Tageslichteinfluss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Bereichseinschränkung im Lieferumfang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2 Kanäle Licht C1, C2 mit 1 Lichtmessung</w:t>
      </w:r>
    </w:p>
    <w:p w:rsidR="008625FB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2 Kanäle HKL C4, C5, einzeln parametrierbar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Integrierter Temperatursensor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3 Logikkanäle (UND/ODER/XOR)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Mischlichtmessung für Fluoreszenzlampen (FL/PL/ESL), Halogen-/Glühlampen und LED‘s geeignet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Einfacher Abgleich der Helligkeitsmessung mit Eingabe des gemessenen Lux-Wertes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Betrieb als Voll- oder Halbautomat, automatisches Umschalten auf Halbautomat bei Nacht möglich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Verkürzung der Nachlaufzeit bei kurzer Anwesenheit (Kurzzeit-Präsenz)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 xml:space="preserve">Tag-/Nacht-Umschaltung </w:t>
      </w:r>
      <w:r w:rsidR="003B47C4">
        <w:rPr>
          <w:rFonts w:ascii="Arial" w:hAnsi="Arial" w:cs="Arial"/>
          <w:color w:val="auto"/>
        </w:rPr>
        <w:t>über</w:t>
      </w:r>
      <w:r w:rsidRPr="003B47C4">
        <w:rPr>
          <w:rFonts w:ascii="Arial" w:hAnsi="Arial" w:cs="Arial"/>
          <w:color w:val="auto"/>
        </w:rPr>
        <w:t xml:space="preserve"> Telegramm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Manuelle Übersteuerung mit Telegramm oder Fernbedienung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Verhalten nach manueller Übersteuerung wählbar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 xml:space="preserve">Rote LED </w:t>
      </w:r>
      <w:r w:rsidR="003B47C4">
        <w:rPr>
          <w:rFonts w:ascii="Arial" w:hAnsi="Arial" w:cs="Arial"/>
          <w:color w:val="auto"/>
        </w:rPr>
        <w:t xml:space="preserve">über </w:t>
      </w:r>
      <w:r w:rsidRPr="003B47C4">
        <w:rPr>
          <w:rFonts w:ascii="Arial" w:hAnsi="Arial" w:cs="Arial"/>
          <w:color w:val="auto"/>
        </w:rPr>
        <w:t>Objekt</w:t>
      </w:r>
      <w:r w:rsidR="003B47C4">
        <w:rPr>
          <w:rFonts w:ascii="Arial" w:hAnsi="Arial" w:cs="Arial"/>
          <w:color w:val="auto"/>
        </w:rPr>
        <w:t xml:space="preserve"> </w:t>
      </w:r>
      <w:r w:rsidR="003B47C4" w:rsidRPr="003B47C4">
        <w:rPr>
          <w:rFonts w:ascii="Arial" w:hAnsi="Arial" w:cs="Arial"/>
          <w:color w:val="auto"/>
        </w:rPr>
        <w:t>steuerbar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Fernparametrierbar mit Fernbedienung</w:t>
      </w:r>
    </w:p>
    <w:p w:rsidR="008625FB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 xml:space="preserve">Szenenfunktionalität 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Teach-In Funktion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 xml:space="preserve">Testbetrieb zur Überprüfung von Funktion und Erfassungsbereich </w:t>
      </w:r>
    </w:p>
    <w:p w:rsidR="008625FB" w:rsidRPr="003B47C4" w:rsidRDefault="008625FB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color w:val="auto"/>
        </w:rPr>
      </w:pPr>
      <w:r w:rsidRPr="003B47C4">
        <w:rPr>
          <w:rFonts w:ascii="Arial" w:hAnsi="Arial" w:cs="Arial"/>
          <w:color w:val="auto"/>
        </w:rPr>
        <w:t>Parallelschaltung mehrerer Präsenzmelder (Master/Slave- oder Master/Master)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3B47C4">
        <w:rPr>
          <w:rFonts w:ascii="Arial" w:hAnsi="Arial" w:cs="Arial"/>
          <w:lang w:val="de-DE"/>
        </w:rPr>
        <w:t>Durch werkseitige Voreinstellung sofort betriebsbereit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3B47C4">
        <w:rPr>
          <w:rFonts w:ascii="Arial" w:hAnsi="Arial" w:cs="Arial"/>
          <w:lang w:val="de-DE"/>
        </w:rPr>
        <w:t xml:space="preserve">Die Änderungen der Werte und Einstellungen </w:t>
      </w:r>
      <w:r w:rsidR="007207C9">
        <w:rPr>
          <w:rFonts w:ascii="Arial" w:hAnsi="Arial" w:cs="Arial"/>
          <w:lang w:val="de-DE"/>
        </w:rPr>
        <w:t>per ETS</w:t>
      </w:r>
      <w:r w:rsidRPr="003B47C4">
        <w:rPr>
          <w:rFonts w:ascii="Arial" w:hAnsi="Arial" w:cs="Arial"/>
          <w:lang w:val="de-DE"/>
        </w:rPr>
        <w:t xml:space="preserve"> und mit einer dieser optionalen Fernbedienungen möglich: App-/Universal-Fernbedienung theSenda B, Service-Fernbedienung theSenda P</w:t>
      </w:r>
    </w:p>
    <w:p w:rsidR="003B47C4" w:rsidRPr="003B47C4" w:rsidRDefault="003B47C4" w:rsidP="003B47C4">
      <w:pPr>
        <w:pStyle w:val="Aufzhlung"/>
        <w:numPr>
          <w:ilvl w:val="0"/>
          <w:numId w:val="7"/>
        </w:numPr>
        <w:spacing w:line="240" w:lineRule="auto"/>
        <w:textAlignment w:val="auto"/>
        <w:rPr>
          <w:rFonts w:ascii="Arial" w:hAnsi="Arial" w:cs="Arial"/>
          <w:lang w:val="de-DE"/>
        </w:rPr>
      </w:pPr>
      <w:r w:rsidRPr="003B47C4">
        <w:rPr>
          <w:rFonts w:ascii="Arial" w:hAnsi="Arial" w:cs="Arial"/>
          <w:lang w:val="de-DE"/>
        </w:rPr>
        <w:t>Optionale Benutzer-Fernbedienung zur manuellen Übersteuerung theSenda S/theSenda B</w:t>
      </w:r>
    </w:p>
    <w:p w:rsidR="008625FB" w:rsidRDefault="008625FB" w:rsidP="008625FB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</w:p>
    <w:p w:rsidR="008625FB" w:rsidRDefault="008625FB" w:rsidP="008625FB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>
        <w:rPr>
          <w:rFonts w:ascii="Arial" w:hAnsi="Arial" w:cs="Arial"/>
          <w:spacing w:val="-3"/>
          <w:u w:val="single"/>
        </w:rPr>
        <w:t>Technische Daten:</w:t>
      </w:r>
    </w:p>
    <w:p w:rsidR="008625FB" w:rsidRDefault="008625FB" w:rsidP="008625FB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 xml:space="preserve">Betriebsspannung: 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  <w:t>Busspannung KNX, max. 32 V</w:t>
      </w:r>
    </w:p>
    <w:p w:rsidR="008625FB" w:rsidRPr="00255F78" w:rsidRDefault="008625FB" w:rsidP="008625FB">
      <w:pPr>
        <w:pStyle w:val="Aufzhlung"/>
        <w:ind w:left="0" w:firstLine="0"/>
        <w:rPr>
          <w:rFonts w:ascii="Arial" w:hAnsi="Arial" w:cs="Arial"/>
          <w:bCs/>
          <w:spacing w:val="-3"/>
        </w:rPr>
      </w:pPr>
      <w:r w:rsidRPr="00255F78">
        <w:rPr>
          <w:rFonts w:ascii="Arial" w:hAnsi="Arial" w:cs="Arial"/>
          <w:bCs/>
          <w:spacing w:val="-3"/>
        </w:rPr>
        <w:t xml:space="preserve">Eigenverbrauch: </w:t>
      </w:r>
      <w:r w:rsidRPr="00255F78">
        <w:rPr>
          <w:rFonts w:ascii="Arial" w:hAnsi="Arial" w:cs="Arial"/>
          <w:bCs/>
          <w:spacing w:val="-3"/>
        </w:rPr>
        <w:tab/>
      </w:r>
      <w:r w:rsidRPr="00255F78">
        <w:rPr>
          <w:rFonts w:ascii="Arial" w:hAnsi="Arial" w:cs="Arial"/>
          <w:bCs/>
          <w:spacing w:val="-3"/>
        </w:rPr>
        <w:tab/>
      </w:r>
      <w:r w:rsidRPr="00255F78">
        <w:rPr>
          <w:rFonts w:ascii="Arial" w:hAnsi="Arial" w:cs="Arial"/>
          <w:bCs/>
          <w:spacing w:val="-3"/>
        </w:rPr>
        <w:tab/>
        <w:t>&lt; 12</w:t>
      </w:r>
      <w:r w:rsidR="00255F78" w:rsidRPr="00255F78">
        <w:rPr>
          <w:rFonts w:ascii="Arial" w:hAnsi="Arial" w:cs="Arial"/>
          <w:bCs/>
          <w:spacing w:val="-3"/>
        </w:rPr>
        <w:t>,5</w:t>
      </w:r>
      <w:r w:rsidRPr="00255F78">
        <w:rPr>
          <w:rFonts w:ascii="Arial" w:hAnsi="Arial" w:cs="Arial"/>
          <w:bCs/>
          <w:spacing w:val="-3"/>
        </w:rPr>
        <w:t xml:space="preserve"> mA (typisch)</w:t>
      </w:r>
    </w:p>
    <w:p w:rsidR="008625FB" w:rsidRDefault="008625FB" w:rsidP="008625FB">
      <w:pPr>
        <w:pStyle w:val="Aufzhlung"/>
        <w:tabs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Helligkeits-Sollwert: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5 – </w:t>
      </w:r>
      <w:r w:rsidR="003B47C4">
        <w:rPr>
          <w:rFonts w:ascii="Arial" w:hAnsi="Arial" w:cs="Arial"/>
        </w:rPr>
        <w:t>1</w:t>
      </w:r>
      <w:r>
        <w:rPr>
          <w:rFonts w:ascii="Arial" w:hAnsi="Arial" w:cs="Arial"/>
        </w:rPr>
        <w:t>000 Lux</w:t>
      </w:r>
      <w:r w:rsidR="003B47C4">
        <w:rPr>
          <w:rFonts w:ascii="Arial" w:hAnsi="Arial" w:cs="Arial"/>
        </w:rPr>
        <w:t>, Messung aus</w:t>
      </w:r>
    </w:p>
    <w:p w:rsidR="008625FB" w:rsidRDefault="008625FB" w:rsidP="008625FB">
      <w:pPr>
        <w:pStyle w:val="Aufzhlung"/>
        <w:tabs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Nachlaufzeit Licht: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30 s – 60 min</w:t>
      </w:r>
    </w:p>
    <w:p w:rsidR="008625FB" w:rsidRDefault="008625FB" w:rsidP="008625FB">
      <w:pPr>
        <w:pStyle w:val="Aufzhlung"/>
        <w:tabs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Stand-by Zeit Licht: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30 s – 60 min / dauerhaft ein / inaktiv</w:t>
      </w:r>
    </w:p>
    <w:p w:rsidR="008625FB" w:rsidRDefault="008625FB" w:rsidP="008625FB">
      <w:pPr>
        <w:pStyle w:val="Aufzhlung"/>
        <w:tabs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Stand-by Dimmwert: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 – </w:t>
      </w:r>
      <w:r w:rsidR="00255F78">
        <w:rPr>
          <w:rFonts w:ascii="Arial" w:hAnsi="Arial" w:cs="Arial"/>
        </w:rPr>
        <w:t>100</w:t>
      </w:r>
      <w:r>
        <w:rPr>
          <w:rFonts w:ascii="Arial" w:hAnsi="Arial" w:cs="Arial"/>
        </w:rPr>
        <w:t xml:space="preserve"> % der Lampenleistung</w:t>
      </w:r>
    </w:p>
    <w:p w:rsidR="008625FB" w:rsidRDefault="008625FB" w:rsidP="008625FB">
      <w:pPr>
        <w:pStyle w:val="Aufzhlung"/>
        <w:tabs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Einschaltverzögerung HKL: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s – 30 min / inaktiv</w:t>
      </w:r>
    </w:p>
    <w:p w:rsidR="008625FB" w:rsidRDefault="008625FB" w:rsidP="008625FB">
      <w:pPr>
        <w:pStyle w:val="Aufzhlung"/>
        <w:tabs>
          <w:tab w:val="left" w:pos="0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Nachlaufzeit HKL: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 s – 120 min</w:t>
      </w:r>
    </w:p>
    <w:p w:rsidR="008625FB" w:rsidRDefault="008625FB" w:rsidP="00255F78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Messbereich Temperatursensor:</w:t>
      </w:r>
      <w:r>
        <w:rPr>
          <w:rFonts w:ascii="Arial" w:hAnsi="Arial" w:cs="Arial"/>
        </w:rPr>
        <w:tab/>
      </w:r>
      <w:r w:rsidR="00255F78">
        <w:rPr>
          <w:rFonts w:ascii="Arial" w:hAnsi="Arial" w:cs="Arial"/>
        </w:rPr>
        <w:t>-25° C bis +55° C</w:t>
      </w:r>
    </w:p>
    <w:p w:rsidR="008625FB" w:rsidRDefault="008625FB" w:rsidP="008625FB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Betriebstemperatur: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-</w:t>
      </w:r>
      <w:r w:rsidR="00255F78">
        <w:rPr>
          <w:rFonts w:ascii="Arial" w:hAnsi="Arial" w:cs="Arial"/>
        </w:rPr>
        <w:t>2</w:t>
      </w:r>
      <w:r>
        <w:rPr>
          <w:rFonts w:ascii="Arial" w:hAnsi="Arial" w:cs="Arial"/>
        </w:rPr>
        <w:t>5° C bis +</w:t>
      </w:r>
      <w:r w:rsidR="00255F78">
        <w:rPr>
          <w:rFonts w:ascii="Arial" w:hAnsi="Arial" w:cs="Arial"/>
        </w:rPr>
        <w:t>5</w:t>
      </w:r>
      <w:r>
        <w:rPr>
          <w:rFonts w:ascii="Arial" w:hAnsi="Arial" w:cs="Arial"/>
        </w:rPr>
        <w:t>5° C</w:t>
      </w:r>
    </w:p>
    <w:p w:rsidR="008625FB" w:rsidRDefault="008625FB" w:rsidP="008625FB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Abmessungen: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55F78">
        <w:rPr>
          <w:rFonts w:ascii="Calibri" w:hAnsi="Calibri" w:cs="Calibri"/>
        </w:rPr>
        <w:t>Ø</w:t>
      </w:r>
      <w:r>
        <w:rPr>
          <w:rFonts w:ascii="Arial" w:hAnsi="Arial" w:cs="Arial"/>
        </w:rPr>
        <w:t>8</w:t>
      </w:r>
      <w:r w:rsidR="00255F78">
        <w:rPr>
          <w:rFonts w:ascii="Arial" w:hAnsi="Arial" w:cs="Arial"/>
        </w:rPr>
        <w:t>8mm</w:t>
      </w:r>
      <w:r>
        <w:rPr>
          <w:rFonts w:ascii="Arial" w:hAnsi="Arial" w:cs="Arial"/>
        </w:rPr>
        <w:t xml:space="preserve"> x </w:t>
      </w:r>
      <w:r w:rsidR="00255F78">
        <w:rPr>
          <w:rFonts w:ascii="Arial" w:hAnsi="Arial" w:cs="Arial"/>
        </w:rPr>
        <w:t>38,5</w:t>
      </w:r>
      <w:r>
        <w:rPr>
          <w:rFonts w:ascii="Arial" w:hAnsi="Arial" w:cs="Arial"/>
        </w:rPr>
        <w:t xml:space="preserve"> mm, Einbautiefe 2</w:t>
      </w:r>
      <w:r w:rsidR="00255F7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mm</w:t>
      </w:r>
    </w:p>
    <w:p w:rsidR="008625FB" w:rsidRDefault="008625FB" w:rsidP="008625FB">
      <w:pPr>
        <w:pStyle w:val="Aufzhlung"/>
        <w:ind w:left="0" w:firstLine="0"/>
        <w:rPr>
          <w:rFonts w:ascii="Arial" w:hAnsi="Arial" w:cs="Arial"/>
        </w:rPr>
      </w:pPr>
    </w:p>
    <w:sectPr w:rsidR="008625FB" w:rsidSect="00547C91">
      <w:headerReference w:type="default" r:id="rId11"/>
      <w:footerReference w:type="default" r:id="rId12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C7731" w:rsidRDefault="00AC7731">
      <w:r>
        <w:separator/>
      </w:r>
    </w:p>
  </w:endnote>
  <w:endnote w:type="continuationSeparator" w:id="0">
    <w:p w:rsidR="00AC7731" w:rsidRDefault="00AC7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</w:p>
      </w:tc>
      <w:tc>
        <w:tcPr>
          <w:tcW w:w="4748" w:type="dxa"/>
        </w:tcPr>
        <w:p w:rsidR="00F213AE" w:rsidRPr="0095605F" w:rsidRDefault="00F213AE" w:rsidP="004F2EB4">
          <w:pPr>
            <w:pStyle w:val="Fuzeile"/>
            <w:jc w:val="right"/>
            <w:rPr>
              <w:rFonts w:ascii="Arial" w:hAnsi="Arial" w:cs="Arial"/>
            </w:rPr>
          </w:pP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C7731" w:rsidRDefault="00AC7731">
      <w:r>
        <w:separator/>
      </w:r>
    </w:p>
  </w:footnote>
  <w:footnote w:type="continuationSeparator" w:id="0">
    <w:p w:rsidR="00AC7731" w:rsidRDefault="00AC7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AC7731" w:rsidP="00FD0BA5">
    <w:pPr>
      <w:pStyle w:val="Kopfzeile"/>
      <w:ind w:left="-1701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Theben – Presseportal der Brandrevier GmbH, Essen" style="position:absolute;left:0;text-align:left;margin-left:289.35pt;margin-top:17.2pt;width:184.3pt;height:40.85pt;z-index:-251658752;mso-wrap-edited:f;mso-width-percent:0;mso-height-percent:0;mso-width-percent:0;mso-height-percent:0" wrapcoords="-88 0 -88 21200 21600 21200 21600 0 -88 0">
          <v:imagedata r:id="rId1" r:href="rId2" croptop="21279f" cropbottom="23248f"/>
          <w10:wrap type="throug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3D382D"/>
    <w:multiLevelType w:val="hybridMultilevel"/>
    <w:tmpl w:val="9E9676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2088262840">
    <w:abstractNumId w:val="3"/>
  </w:num>
  <w:num w:numId="2" w16cid:durableId="1196429578">
    <w:abstractNumId w:val="5"/>
  </w:num>
  <w:num w:numId="3" w16cid:durableId="1781147639">
    <w:abstractNumId w:val="2"/>
  </w:num>
  <w:num w:numId="4" w16cid:durableId="1648514337">
    <w:abstractNumId w:val="0"/>
  </w:num>
  <w:num w:numId="5" w16cid:durableId="227767444">
    <w:abstractNumId w:val="4"/>
  </w:num>
  <w:num w:numId="6" w16cid:durableId="496851136">
    <w:abstractNumId w:val="1"/>
  </w:num>
  <w:num w:numId="7" w16cid:durableId="208517605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9757288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302CC"/>
    <w:rsid w:val="000A49B0"/>
    <w:rsid w:val="000A7407"/>
    <w:rsid w:val="000B4392"/>
    <w:rsid w:val="000D1E25"/>
    <w:rsid w:val="000E3A05"/>
    <w:rsid w:val="0011221C"/>
    <w:rsid w:val="00136A01"/>
    <w:rsid w:val="001605BA"/>
    <w:rsid w:val="00167D65"/>
    <w:rsid w:val="0018253F"/>
    <w:rsid w:val="001954BB"/>
    <w:rsid w:val="001B336C"/>
    <w:rsid w:val="001B798A"/>
    <w:rsid w:val="001C5AE6"/>
    <w:rsid w:val="001E1D0D"/>
    <w:rsid w:val="001F49C8"/>
    <w:rsid w:val="001F4E1D"/>
    <w:rsid w:val="001F5BF1"/>
    <w:rsid w:val="001F6280"/>
    <w:rsid w:val="00203359"/>
    <w:rsid w:val="00213D07"/>
    <w:rsid w:val="00231674"/>
    <w:rsid w:val="00235C00"/>
    <w:rsid w:val="00255F78"/>
    <w:rsid w:val="00261E93"/>
    <w:rsid w:val="0026328C"/>
    <w:rsid w:val="002770D0"/>
    <w:rsid w:val="00293461"/>
    <w:rsid w:val="002A63AC"/>
    <w:rsid w:val="002C0750"/>
    <w:rsid w:val="002C6314"/>
    <w:rsid w:val="002D071C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B47C4"/>
    <w:rsid w:val="003D717D"/>
    <w:rsid w:val="00405990"/>
    <w:rsid w:val="00427F4D"/>
    <w:rsid w:val="00430F45"/>
    <w:rsid w:val="00442A17"/>
    <w:rsid w:val="00461495"/>
    <w:rsid w:val="00477426"/>
    <w:rsid w:val="004930BB"/>
    <w:rsid w:val="00497804"/>
    <w:rsid w:val="004C07C4"/>
    <w:rsid w:val="004C6BD9"/>
    <w:rsid w:val="004D04DE"/>
    <w:rsid w:val="004D5108"/>
    <w:rsid w:val="004E2972"/>
    <w:rsid w:val="004F120A"/>
    <w:rsid w:val="004F2EB4"/>
    <w:rsid w:val="004F6840"/>
    <w:rsid w:val="005116E4"/>
    <w:rsid w:val="00541EF7"/>
    <w:rsid w:val="00543AAD"/>
    <w:rsid w:val="00547C91"/>
    <w:rsid w:val="00557AA9"/>
    <w:rsid w:val="005739DA"/>
    <w:rsid w:val="005A37FF"/>
    <w:rsid w:val="005C502D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24CC"/>
    <w:rsid w:val="006C784A"/>
    <w:rsid w:val="006D4E11"/>
    <w:rsid w:val="006E0D51"/>
    <w:rsid w:val="006F477C"/>
    <w:rsid w:val="006F4CAD"/>
    <w:rsid w:val="007064A2"/>
    <w:rsid w:val="0070748E"/>
    <w:rsid w:val="00714F55"/>
    <w:rsid w:val="007207C9"/>
    <w:rsid w:val="007752C7"/>
    <w:rsid w:val="00785FE4"/>
    <w:rsid w:val="00792DB9"/>
    <w:rsid w:val="007A6AD7"/>
    <w:rsid w:val="007A7A86"/>
    <w:rsid w:val="007B2E89"/>
    <w:rsid w:val="007C0ACE"/>
    <w:rsid w:val="007C7A20"/>
    <w:rsid w:val="007F2DF0"/>
    <w:rsid w:val="007F4E69"/>
    <w:rsid w:val="0083653F"/>
    <w:rsid w:val="00857B98"/>
    <w:rsid w:val="008625FB"/>
    <w:rsid w:val="00872719"/>
    <w:rsid w:val="008D46F5"/>
    <w:rsid w:val="008E010F"/>
    <w:rsid w:val="008F2E1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07543"/>
    <w:rsid w:val="00A15EDF"/>
    <w:rsid w:val="00A41B0E"/>
    <w:rsid w:val="00A47C97"/>
    <w:rsid w:val="00A651B8"/>
    <w:rsid w:val="00A72AEF"/>
    <w:rsid w:val="00A75E61"/>
    <w:rsid w:val="00A91E20"/>
    <w:rsid w:val="00A96573"/>
    <w:rsid w:val="00AB0222"/>
    <w:rsid w:val="00AB2128"/>
    <w:rsid w:val="00AB443F"/>
    <w:rsid w:val="00AB4B97"/>
    <w:rsid w:val="00AC7731"/>
    <w:rsid w:val="00B065D4"/>
    <w:rsid w:val="00B345A1"/>
    <w:rsid w:val="00B7621C"/>
    <w:rsid w:val="00BE7F5B"/>
    <w:rsid w:val="00BE7FA6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B5468"/>
    <w:rsid w:val="00CC6300"/>
    <w:rsid w:val="00CE0149"/>
    <w:rsid w:val="00CF20FB"/>
    <w:rsid w:val="00D00BF0"/>
    <w:rsid w:val="00D03C54"/>
    <w:rsid w:val="00D05F16"/>
    <w:rsid w:val="00D56F8D"/>
    <w:rsid w:val="00D656E0"/>
    <w:rsid w:val="00D67D73"/>
    <w:rsid w:val="00D7757B"/>
    <w:rsid w:val="00D84889"/>
    <w:rsid w:val="00D96261"/>
    <w:rsid w:val="00DA5A07"/>
    <w:rsid w:val="00DC0E02"/>
    <w:rsid w:val="00DF4FE3"/>
    <w:rsid w:val="00E20CCF"/>
    <w:rsid w:val="00E26082"/>
    <w:rsid w:val="00E5779A"/>
    <w:rsid w:val="00E66107"/>
    <w:rsid w:val="00E70B35"/>
    <w:rsid w:val="00E769D5"/>
    <w:rsid w:val="00E92A11"/>
    <w:rsid w:val="00EA1E7A"/>
    <w:rsid w:val="00EA7350"/>
    <w:rsid w:val="00EB4AB1"/>
    <w:rsid w:val="00EC36C2"/>
    <w:rsid w:val="00ED309E"/>
    <w:rsid w:val="00F07E9A"/>
    <w:rsid w:val="00F21331"/>
    <w:rsid w:val="00F213AE"/>
    <w:rsid w:val="00F50BD0"/>
    <w:rsid w:val="00F55BBA"/>
    <w:rsid w:val="00F95E8C"/>
    <w:rsid w:val="00FB2CEC"/>
    <w:rsid w:val="00FC09A6"/>
    <w:rsid w:val="00FD0BA5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FDE63EDC-D7A6-144E-84A2-82F97C53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21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presseportal.brandrevier.com/wp-content/uploads/2022/08/theben_logo.jpg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j_Projektdokument" ma:contentTypeID="0x010100EC5DFF80E07BC040AC9E8153004C3EE00051764209C0A7D54196A064ED19D1A055" ma:contentTypeVersion="25" ma:contentTypeDescription="Create a new document." ma:contentTypeScope="" ma:versionID="6755045d0825209271d6a7a7aa16df85">
  <xsd:schema xmlns:xsd="http://www.w3.org/2001/XMLSchema" xmlns:xs="http://www.w3.org/2001/XMLSchema" xmlns:p="http://schemas.microsoft.com/office/2006/metadata/properties" xmlns:ns2="6e71aeb0-4d15-44d0-abde-d9497a4d72d0" xmlns:ns3="62611562-8cc3-44a2-aacd-1d67161d9ec3" targetNamespace="http://schemas.microsoft.com/office/2006/metadata/properties" ma:root="true" ma:fieldsID="a29523e86db3892d2ecdcf82f318f152" ns2:_="" ns3:_="">
    <xsd:import namespace="6e71aeb0-4d15-44d0-abde-d9497a4d72d0"/>
    <xsd:import namespace="62611562-8cc3-44a2-aacd-1d67161d9ec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o618ae24870149049f55497070dc1806" minOccurs="0"/>
                <xsd:element ref="ns3:TaxCatchAll" minOccurs="0"/>
                <xsd:element ref="ns3:TaxCatchAllLabel" minOccurs="0"/>
                <xsd:element ref="ns3:b2c20a7a234949339b653c84bcd8b546" minOccurs="0"/>
                <xsd:element ref="ns3:n004849563624e5aa2b65f73c416119c" minOccurs="0"/>
                <xsd:element ref="ns2:pj_ProjectNr" minOccurs="0"/>
                <xsd:element ref="ns2:pj_project" minOccurs="0"/>
                <xsd:element ref="ns2:pj_Typ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1aeb0-4d15-44d0-abde-d9497a4d72d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false">
      <xsd:simpleType>
        <xsd:restriction base="dms:Boolean"/>
      </xsd:simpleType>
    </xsd:element>
    <xsd:element name="pj_ProjectNr" ma:index="19" nillable="true" ma:displayName="projectNr" ma:default="2021006" ma:format="RadioButtons" ma:internalName="pj_ProjectNr" ma:readOnly="false">
      <xsd:simpleType>
        <xsd:restriction base="dms:Choice">
          <xsd:enumeration value="2021006"/>
        </xsd:restriction>
      </xsd:simpleType>
    </xsd:element>
    <xsd:element name="pj_project" ma:index="20" nillable="true" ma:displayName="project" ma:default="yes" ma:format="RadioButtons" ma:hidden="true" ma:internalName="pj_project" ma:readOnly="false">
      <xsd:simpleType>
        <xsd:restriction base="dms:Choice">
          <xsd:enumeration value="yes"/>
        </xsd:restriction>
      </xsd:simpleType>
    </xsd:element>
    <xsd:element name="pj_Typ" ma:index="21" nillable="true" ma:displayName="pj_typ" ma:default="Document" ma:format="Dropdown" ma:internalName="pj_Typ" ma:readOnly="false">
      <xsd:simpleType>
        <xsd:restriction base="dms:Choice">
          <xsd:enumeration value="Project"/>
          <xsd:enumeration value="Document"/>
          <xsd:enumeration value="Activity"/>
          <xsd:enumeration value="Decision"/>
        </xsd:restriction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11562-8cc3-44a2-aacd-1d67161d9ec3" elementFormDefault="qualified">
    <xsd:import namespace="http://schemas.microsoft.com/office/2006/documentManagement/types"/>
    <xsd:import namespace="http://schemas.microsoft.com/office/infopath/2007/PartnerControls"/>
    <xsd:element name="o618ae24870149049f55497070dc1806" ma:index="11" nillable="true" ma:taxonomy="true" ma:internalName="o618ae24870149049f55497070dc1806" ma:taxonomyFieldName="tgProjektstatus" ma:displayName="project status" ma:readOnly="false" ma:fieldId="{8618ae24-8701-4904-9f55-497070dc1806}" ma:sspId="bfa3303b-39ef-4475-b3f5-2faa108ec189" ma:termSetId="1881ae30-94ef-496c-a57a-9f1865c084a2" ma:anchorId="41d8d8bf-c54f-4abc-9485-ac190ad9c701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aa9b0b1c-159c-41cd-9d0a-ed3b51cc7cf0}" ma:internalName="TaxCatchAll" ma:showField="CatchAllData" ma:web="62611562-8cc3-44a2-aacd-1d67161d9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aa9b0b1c-159c-41cd-9d0a-ed3b51cc7cf0}" ma:internalName="TaxCatchAllLabel" ma:readOnly="true" ma:showField="CatchAllDataLabel" ma:web="62611562-8cc3-44a2-aacd-1d67161d9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2c20a7a234949339b653c84bcd8b546" ma:index="15" nillable="true" ma:taxonomy="true" ma:internalName="b2c20a7a234949339b653c84bcd8b546" ma:taxonomyFieldName="tgProjektHerkunft" ma:displayName="project origin" ma:readOnly="false" ma:fieldId="{b2c20a7a-2349-4933-9b65-3c84bcd8b546}" ma:sspId="bfa3303b-39ef-4475-b3f5-2faa108ec189" ma:termSetId="f6d174d3-a8e4-4207-b41f-f75c104175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004849563624e5aa2b65f73c416119c" ma:index="17" nillable="true" ma:taxonomy="true" ma:internalName="n004849563624e5aa2b65f73c416119c" ma:taxonomyFieldName="tgProjektKeyword" ma:displayName="Keyword" ma:readOnly="false" ma:fieldId="{70048495-6362-4e5a-a2b6-5f73c416119c}" ma:sspId="bfa3303b-39ef-4475-b3f5-2faa108ec189" ma:termSetId="1daefb51-0e65-4f14-9f71-fab86b78fb0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haredWithUsers" ma:index="2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EDEF922-26D0-40C7-961D-45E9F9AEBC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71aeb0-4d15-44d0-abde-d9497a4d72d0"/>
    <ds:schemaRef ds:uri="62611562-8cc3-44a2-aacd-1d67161d9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9143CC-01B6-452E-AA0C-17830A5FE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39C3E8-154E-4737-B5CF-7090455055B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357</Words>
  <Characters>2255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2607</CharactersWithSpaces>
  <SharedDoc>false</SharedDoc>
  <HLinks>
    <vt:vector size="6" baseType="variant">
      <vt:variant>
        <vt:i4>7143497</vt:i4>
      </vt:variant>
      <vt:variant>
        <vt:i4>-1</vt:i4>
      </vt:variant>
      <vt:variant>
        <vt:i4>1025</vt:i4>
      </vt:variant>
      <vt:variant>
        <vt:i4>1</vt:i4>
      </vt:variant>
      <vt:variant>
        <vt:lpwstr>https://presseportal.brandrevier.com/wp-content/uploads/2022/08/theben_logo.jpg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2026-10-16T13:15:00Z</dcterms:created>
  <dcterms:modified xsi:type="dcterms:W3CDTF">2026-10-16T13:15:00Z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Url">
    <vt:lpwstr>, </vt:lpwstr>
  </property>
  <property fmtid="{D5CDD505-2E9C-101B-9397-08002B2CF9AE}" pid="3" name="n004849563624e5aa2b65f73c416119c">
    <vt:lpwstr/>
  </property>
  <property fmtid="{D5CDD505-2E9C-101B-9397-08002B2CF9AE}" pid="4" name="_dlc_DocId">
    <vt:lpwstr/>
  </property>
  <property fmtid="{D5CDD505-2E9C-101B-9397-08002B2CF9AE}" pid="5" name="pj_project">
    <vt:lpwstr>yes</vt:lpwstr>
  </property>
  <property fmtid="{D5CDD505-2E9C-101B-9397-08002B2CF9AE}" pid="6" name="b2c20a7a234949339b653c84bcd8b546">
    <vt:lpwstr/>
  </property>
  <property fmtid="{D5CDD505-2E9C-101B-9397-08002B2CF9AE}" pid="7" name="pj_ProjectNr">
    <vt:lpwstr>2021006</vt:lpwstr>
  </property>
  <property fmtid="{D5CDD505-2E9C-101B-9397-08002B2CF9AE}" pid="8" name="_dlc_DocIdPersistId">
    <vt:lpwstr/>
  </property>
  <property fmtid="{D5CDD505-2E9C-101B-9397-08002B2CF9AE}" pid="9" name="TaxCatchAll">
    <vt:lpwstr/>
  </property>
  <property fmtid="{D5CDD505-2E9C-101B-9397-08002B2CF9AE}" pid="10" name="o618ae24870149049f55497070dc1806">
    <vt:lpwstr/>
  </property>
  <property fmtid="{D5CDD505-2E9C-101B-9397-08002B2CF9AE}" pid="11" name="pj_Typ">
    <vt:lpwstr>Document</vt:lpwstr>
  </property>
  <property fmtid="{D5CDD505-2E9C-101B-9397-08002B2CF9AE}" pid="12" name="tgProjektstatus">
    <vt:lpwstr/>
  </property>
  <property fmtid="{D5CDD505-2E9C-101B-9397-08002B2CF9AE}" pid="13" name="tgProjektKeyword">
    <vt:lpwstr/>
  </property>
  <property fmtid="{D5CDD505-2E9C-101B-9397-08002B2CF9AE}" pid="14" name="tgProjektHerkunft">
    <vt:lpwstr/>
  </property>
  <property fmtid="{D5CDD505-2E9C-101B-9397-08002B2CF9AE}" pid="15" name="display_urn:schemas-microsoft-com:office:office#SharedWithUsers">
    <vt:lpwstr>Mohl Arne moa - Theben AG;Andren Stefan se-as - Theben SE</vt:lpwstr>
  </property>
  <property fmtid="{D5CDD505-2E9C-101B-9397-08002B2CF9AE}" pid="16" name="SharedWithUsers">
    <vt:lpwstr>61;#Mohl Arne moa - Theben AG;#80;#Andren Stefan se-as - Theben SE</vt:lpwstr>
  </property>
</Properties>
</file>