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EA3D67" w:rsidRDefault="00FA351E" w:rsidP="00BC2511">
      <w:pPr>
        <w:rPr>
          <w:rFonts w:ascii="Arial" w:hAnsi="Arial" w:cs="Arial"/>
          <w:b/>
          <w:sz w:val="20"/>
          <w:szCs w:val="20"/>
        </w:rPr>
      </w:pPr>
      <w:r w:rsidRPr="00EA3D67">
        <w:rPr>
          <w:rFonts w:ascii="Arial" w:hAnsi="Arial" w:cs="Arial"/>
          <w:b/>
          <w:sz w:val="20"/>
          <w:szCs w:val="20"/>
        </w:rPr>
        <w:t xml:space="preserve">KNX Schaltaktor 4fach, </w:t>
      </w:r>
      <w:r w:rsidR="00210E60">
        <w:rPr>
          <w:rFonts w:ascii="Arial" w:hAnsi="Arial" w:cs="Arial"/>
          <w:b/>
          <w:sz w:val="20"/>
          <w:szCs w:val="20"/>
        </w:rPr>
        <w:t xml:space="preserve">Erweiterungsgerät </w:t>
      </w:r>
      <w:r w:rsidR="003D5BA5" w:rsidRPr="00EA3D67">
        <w:rPr>
          <w:rFonts w:ascii="Arial" w:hAnsi="Arial" w:cs="Arial"/>
          <w:b/>
          <w:sz w:val="20"/>
          <w:szCs w:val="20"/>
        </w:rPr>
        <w:t>(</w:t>
      </w:r>
      <w:r w:rsidR="00210E60">
        <w:rPr>
          <w:rFonts w:ascii="Arial" w:hAnsi="Arial" w:cs="Arial"/>
          <w:b/>
          <w:sz w:val="20"/>
          <w:szCs w:val="20"/>
        </w:rPr>
        <w:t>RME</w:t>
      </w:r>
      <w:r w:rsidR="00D6411B" w:rsidRPr="00EA3D67">
        <w:rPr>
          <w:rFonts w:ascii="Arial" w:hAnsi="Arial" w:cs="Arial"/>
          <w:b/>
          <w:sz w:val="20"/>
          <w:szCs w:val="20"/>
        </w:rPr>
        <w:t xml:space="preserve"> 4 I </w:t>
      </w:r>
      <w:r w:rsidRPr="00EA3D67">
        <w:rPr>
          <w:rFonts w:ascii="Arial" w:hAnsi="Arial" w:cs="Arial"/>
          <w:b/>
          <w:sz w:val="20"/>
          <w:szCs w:val="20"/>
        </w:rPr>
        <w:t>KNX</w:t>
      </w:r>
      <w:r w:rsidR="00B26BC7" w:rsidRPr="00EA3D67">
        <w:rPr>
          <w:rFonts w:ascii="Arial" w:hAnsi="Arial" w:cs="Arial"/>
          <w:b/>
          <w:sz w:val="20"/>
          <w:szCs w:val="20"/>
        </w:rPr>
        <w:t>)</w:t>
      </w:r>
    </w:p>
    <w:p w:rsidR="00FA437B" w:rsidRPr="00EA3D67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ab/>
      </w:r>
    </w:p>
    <w:p w:rsidR="002F61D5" w:rsidRPr="00EA3D67" w:rsidRDefault="00FA351E" w:rsidP="00DC1E00">
      <w:pPr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>KNX Schaltaktor 4fach</w:t>
      </w:r>
      <w:r w:rsidR="00210E60">
        <w:rPr>
          <w:rFonts w:ascii="Arial" w:hAnsi="Arial" w:cs="Arial"/>
          <w:sz w:val="20"/>
          <w:szCs w:val="20"/>
        </w:rPr>
        <w:t xml:space="preserve"> Erweiterungsmodul,</w:t>
      </w:r>
      <w:r w:rsidRPr="00EA3D67">
        <w:rPr>
          <w:rFonts w:ascii="Arial" w:hAnsi="Arial" w:cs="Arial"/>
          <w:sz w:val="20"/>
          <w:szCs w:val="20"/>
        </w:rPr>
        <w:t xml:space="preserve"> C-Last mit Relaisausgänge für 4 S</w:t>
      </w:r>
      <w:r w:rsidR="00D6411B" w:rsidRPr="00EA3D67">
        <w:rPr>
          <w:rFonts w:ascii="Arial" w:hAnsi="Arial" w:cs="Arial"/>
          <w:sz w:val="20"/>
          <w:szCs w:val="20"/>
        </w:rPr>
        <w:t>chaltkanäle; Erweiterbar mit RME 4I</w:t>
      </w:r>
      <w:r w:rsidRPr="00EA3D67">
        <w:rPr>
          <w:rFonts w:ascii="Arial" w:hAnsi="Arial" w:cs="Arial"/>
          <w:sz w:val="20"/>
          <w:szCs w:val="20"/>
        </w:rPr>
        <w:t xml:space="preserve"> bis zu 12 Kanäle; Reiheneinbaugehäuse; Breite 72 mm; </w:t>
      </w:r>
      <w:r w:rsidR="00DC1E00" w:rsidRPr="00EA3D67">
        <w:rPr>
          <w:rFonts w:ascii="Arial" w:hAnsi="Arial" w:cs="Arial"/>
          <w:sz w:val="20"/>
          <w:szCs w:val="20"/>
        </w:rPr>
        <w:t xml:space="preserve">LED Schaltzustandsanzeige </w:t>
      </w:r>
      <w:r w:rsidR="00EA3D67">
        <w:rPr>
          <w:rFonts w:ascii="Arial" w:hAnsi="Arial" w:cs="Arial"/>
          <w:sz w:val="20"/>
          <w:szCs w:val="20"/>
        </w:rPr>
        <w:t>je</w:t>
      </w:r>
      <w:r w:rsidR="00DC1E00" w:rsidRPr="00EA3D67">
        <w:rPr>
          <w:rFonts w:ascii="Arial" w:hAnsi="Arial" w:cs="Arial"/>
          <w:sz w:val="20"/>
          <w:szCs w:val="20"/>
        </w:rPr>
        <w:t xml:space="preserve"> Kanal; Handschalter mit Statusanzeige (auch ohne Busspannung); </w:t>
      </w:r>
      <w:r w:rsidR="00EA3D67">
        <w:rPr>
          <w:rFonts w:ascii="Arial" w:hAnsi="Arial" w:cs="Arial"/>
          <w:sz w:val="20"/>
          <w:szCs w:val="20"/>
        </w:rPr>
        <w:t>Funktionen: schalten, v</w:t>
      </w:r>
      <w:r w:rsidR="00DC1E00" w:rsidRPr="00EA3D67">
        <w:rPr>
          <w:rFonts w:ascii="Arial" w:hAnsi="Arial" w:cs="Arial"/>
          <w:sz w:val="20"/>
          <w:szCs w:val="20"/>
        </w:rPr>
        <w:t>erzögert</w:t>
      </w:r>
      <w:r w:rsidR="00EA3D67">
        <w:rPr>
          <w:rFonts w:ascii="Arial" w:hAnsi="Arial" w:cs="Arial"/>
          <w:sz w:val="20"/>
          <w:szCs w:val="20"/>
        </w:rPr>
        <w:t xml:space="preserve"> </w:t>
      </w:r>
      <w:r w:rsidR="00DC1E00" w:rsidRPr="00EA3D67">
        <w:rPr>
          <w:rFonts w:ascii="Arial" w:hAnsi="Arial" w:cs="Arial"/>
          <w:sz w:val="20"/>
          <w:szCs w:val="20"/>
        </w:rPr>
        <w:t>schalten, Impulsfunktion; Verknüpfungen, Kontaktart (Öffner/Schließer) und Teilnahme an Zentralbefehlen wie Dauer-Ein, Dauer-Aus, Zentral-Schalten und Szene speichern/abrufen; Schaltfunktionen: Ein/Aus, Impuls, Ein/Aus-Verzögerung, Treppenlicht mit Vorwarnen nach DIN 18015-2</w:t>
      </w:r>
      <w:r w:rsidR="00EA3D67" w:rsidRPr="00EA3D67">
        <w:rPr>
          <w:rFonts w:ascii="Arial" w:hAnsi="Arial" w:cs="Arial"/>
          <w:sz w:val="20"/>
          <w:szCs w:val="20"/>
        </w:rPr>
        <w:t>; l</w:t>
      </w:r>
      <w:r w:rsidR="00DC1E00" w:rsidRPr="00EA3D67">
        <w:rPr>
          <w:rFonts w:ascii="Arial" w:hAnsi="Arial" w:cs="Arial"/>
          <w:sz w:val="20"/>
          <w:szCs w:val="20"/>
        </w:rPr>
        <w:t>ogische Verknüpfungen: Sperren, UND, Freigeben, ODER</w:t>
      </w:r>
      <w:r w:rsidR="00EA3D67" w:rsidRPr="00EA3D67">
        <w:rPr>
          <w:rFonts w:ascii="Arial" w:hAnsi="Arial" w:cs="Arial"/>
          <w:sz w:val="20"/>
          <w:szCs w:val="20"/>
        </w:rPr>
        <w:t>; Merkmale:</w:t>
      </w:r>
      <w:r w:rsidR="00DC1E00" w:rsidRPr="00EA3D67">
        <w:rPr>
          <w:rFonts w:ascii="Arial" w:hAnsi="Arial" w:cs="Arial"/>
          <w:sz w:val="20"/>
          <w:szCs w:val="20"/>
        </w:rPr>
        <w:t xml:space="preserve"> Verhalten bei Busausfall</w:t>
      </w:r>
      <w:r w:rsidR="00EA3D67">
        <w:rPr>
          <w:rFonts w:ascii="Arial" w:hAnsi="Arial" w:cs="Arial"/>
          <w:sz w:val="20"/>
          <w:szCs w:val="20"/>
        </w:rPr>
        <w:t xml:space="preserve"> sowie</w:t>
      </w:r>
      <w:r w:rsidR="00DC1E00" w:rsidRPr="00EA3D67">
        <w:rPr>
          <w:rFonts w:ascii="Arial" w:hAnsi="Arial" w:cs="Arial"/>
          <w:sz w:val="20"/>
          <w:szCs w:val="20"/>
        </w:rPr>
        <w:t xml:space="preserve"> bei Bus- oder Netzwiederkehr einstellbar</w:t>
      </w:r>
      <w:r w:rsidR="00EA3D67" w:rsidRPr="00EA3D67">
        <w:rPr>
          <w:rFonts w:ascii="Arial" w:hAnsi="Arial" w:cs="Arial"/>
          <w:sz w:val="20"/>
          <w:szCs w:val="20"/>
        </w:rPr>
        <w:t>,</w:t>
      </w:r>
      <w:r w:rsidR="00DC1E00" w:rsidRPr="00EA3D67">
        <w:rPr>
          <w:rFonts w:ascii="Arial" w:hAnsi="Arial" w:cs="Arial"/>
          <w:sz w:val="20"/>
          <w:szCs w:val="20"/>
        </w:rPr>
        <w:t xml:space="preserve"> Rückmelde-Objekt für jeden Kanal</w:t>
      </w:r>
      <w:r w:rsidR="00EA3D67" w:rsidRPr="00EA3D67">
        <w:rPr>
          <w:rFonts w:ascii="Arial" w:hAnsi="Arial" w:cs="Arial"/>
          <w:sz w:val="20"/>
          <w:szCs w:val="20"/>
        </w:rPr>
        <w:t>,</w:t>
      </w:r>
      <w:r w:rsidR="00DC1E00" w:rsidRPr="00EA3D67">
        <w:rPr>
          <w:rFonts w:ascii="Arial" w:hAnsi="Arial" w:cs="Arial"/>
          <w:sz w:val="20"/>
          <w:szCs w:val="20"/>
        </w:rPr>
        <w:t xml:space="preserve"> Zentral-Objekte mit und ohne </w:t>
      </w:r>
      <w:r w:rsidR="00EA3D67" w:rsidRPr="00EA3D67">
        <w:rPr>
          <w:rFonts w:ascii="Arial" w:hAnsi="Arial" w:cs="Arial"/>
          <w:sz w:val="20"/>
          <w:szCs w:val="20"/>
        </w:rPr>
        <w:t>Priorität,</w:t>
      </w:r>
      <w:r w:rsidR="00DC1E00" w:rsidRPr="00EA3D67">
        <w:rPr>
          <w:rFonts w:ascii="Arial" w:hAnsi="Arial" w:cs="Arial"/>
          <w:sz w:val="20"/>
          <w:szCs w:val="20"/>
        </w:rPr>
        <w:t xml:space="preserve"> Szenen abrufen und speichern (Objekt)</w:t>
      </w:r>
      <w:r w:rsidR="00EA3D67" w:rsidRPr="00EA3D67">
        <w:rPr>
          <w:rFonts w:ascii="Arial" w:hAnsi="Arial" w:cs="Arial"/>
          <w:sz w:val="20"/>
          <w:szCs w:val="20"/>
        </w:rPr>
        <w:t>; j</w:t>
      </w:r>
      <w:r w:rsidR="00DC1E00" w:rsidRPr="00EA3D67">
        <w:rPr>
          <w:rFonts w:ascii="Arial" w:hAnsi="Arial" w:cs="Arial"/>
          <w:sz w:val="20"/>
          <w:szCs w:val="20"/>
        </w:rPr>
        <w:t>eder Kanal erhält ein eigenes Szenenobjekt</w:t>
      </w:r>
      <w:r w:rsidR="00EA3D67" w:rsidRPr="00EA3D67">
        <w:rPr>
          <w:rFonts w:ascii="Arial" w:hAnsi="Arial" w:cs="Arial"/>
          <w:sz w:val="20"/>
          <w:szCs w:val="20"/>
        </w:rPr>
        <w:t xml:space="preserve">; </w:t>
      </w:r>
      <w:r w:rsidR="00DC1E00" w:rsidRPr="00EA3D67">
        <w:rPr>
          <w:rFonts w:ascii="Arial" w:hAnsi="Arial" w:cs="Arial"/>
          <w:sz w:val="20"/>
          <w:szCs w:val="20"/>
        </w:rPr>
        <w:t xml:space="preserve"> </w:t>
      </w:r>
      <w:r w:rsidRPr="00EA3D67">
        <w:rPr>
          <w:rFonts w:ascii="Arial" w:hAnsi="Arial" w:cs="Arial"/>
          <w:sz w:val="20"/>
          <w:szCs w:val="20"/>
        </w:rPr>
        <w:t xml:space="preserve">Schaltleistung: 16A/250V~; cos phi= 0,6; </w:t>
      </w:r>
    </w:p>
    <w:p w:rsidR="00545257" w:rsidRPr="00EA3D67" w:rsidRDefault="00545257" w:rsidP="00545257">
      <w:pPr>
        <w:rPr>
          <w:rFonts w:ascii="Arial" w:hAnsi="Arial" w:cs="Arial"/>
          <w:sz w:val="20"/>
          <w:szCs w:val="20"/>
        </w:rPr>
      </w:pPr>
    </w:p>
    <w:p w:rsidR="00545257" w:rsidRPr="00EA3D67" w:rsidRDefault="00545257" w:rsidP="00545257">
      <w:pPr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545257" w:rsidRPr="00EA3D67" w:rsidRDefault="00545257" w:rsidP="00545257">
      <w:pPr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>...</w:t>
      </w:r>
    </w:p>
    <w:p w:rsidR="002F61D5" w:rsidRDefault="002F61D5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614E15" w:rsidRDefault="00A17F8E" w:rsidP="00A17F8E">
      <w:pPr>
        <w:rPr>
          <w:rFonts w:ascii="Arial" w:hAnsi="Arial" w:cs="Arial"/>
          <w:sz w:val="20"/>
          <w:szCs w:val="20"/>
          <w:lang w:val="sv-SE"/>
        </w:rPr>
      </w:pPr>
      <w:r w:rsidRPr="00614E15">
        <w:rPr>
          <w:rFonts w:ascii="Arial" w:hAnsi="Arial" w:cs="Arial"/>
          <w:sz w:val="20"/>
          <w:szCs w:val="20"/>
          <w:lang w:val="sv-SE"/>
        </w:rPr>
        <w:t xml:space="preserve">Typ: </w:t>
      </w:r>
      <w:r w:rsidR="00FA351E" w:rsidRPr="00614E15">
        <w:rPr>
          <w:rFonts w:ascii="Arial" w:hAnsi="Arial" w:cs="Arial"/>
          <w:sz w:val="20"/>
          <w:szCs w:val="20"/>
          <w:lang w:val="sv-SE"/>
        </w:rPr>
        <w:t xml:space="preserve">RMG 4 </w:t>
      </w:r>
      <w:r w:rsidR="00D6411B" w:rsidRPr="00614E15">
        <w:rPr>
          <w:rFonts w:ascii="Arial" w:hAnsi="Arial" w:cs="Arial"/>
          <w:sz w:val="20"/>
          <w:szCs w:val="20"/>
          <w:lang w:val="sv-SE"/>
        </w:rPr>
        <w:t>I</w:t>
      </w:r>
      <w:r w:rsidR="00DC1E00" w:rsidRPr="00614E15">
        <w:rPr>
          <w:rFonts w:ascii="Arial" w:hAnsi="Arial" w:cs="Arial"/>
          <w:sz w:val="20"/>
          <w:szCs w:val="20"/>
          <w:lang w:val="sv-SE"/>
        </w:rPr>
        <w:t xml:space="preserve"> </w:t>
      </w:r>
      <w:r w:rsidR="00FA351E" w:rsidRPr="00614E15">
        <w:rPr>
          <w:rFonts w:ascii="Arial" w:hAnsi="Arial" w:cs="Arial"/>
          <w:sz w:val="20"/>
          <w:szCs w:val="20"/>
          <w:lang w:val="sv-SE"/>
        </w:rPr>
        <w:t>KNX</w:t>
      </w:r>
    </w:p>
    <w:p w:rsidR="00B8047B" w:rsidRPr="00614E15" w:rsidRDefault="00227259" w:rsidP="00A17F8E">
      <w:pPr>
        <w:rPr>
          <w:rFonts w:ascii="Arial" w:hAnsi="Arial" w:cs="Arial"/>
          <w:sz w:val="20"/>
          <w:szCs w:val="20"/>
          <w:lang w:val="sv-SE"/>
        </w:rPr>
      </w:pPr>
      <w:r w:rsidRPr="00614E15">
        <w:rPr>
          <w:rFonts w:ascii="Arial" w:hAnsi="Arial" w:cs="Arial"/>
          <w:sz w:val="20"/>
          <w:szCs w:val="20"/>
          <w:lang w:val="sv-SE"/>
        </w:rPr>
        <w:t xml:space="preserve">Bestell-Nr.: </w:t>
      </w:r>
      <w:r w:rsidR="00EA3D67" w:rsidRPr="00614E15">
        <w:rPr>
          <w:rFonts w:ascii="Arial" w:hAnsi="Arial" w:cs="Arial"/>
          <w:sz w:val="20"/>
          <w:szCs w:val="20"/>
          <w:lang w:val="sv-SE"/>
        </w:rPr>
        <w:t>493021</w:t>
      </w:r>
      <w:r w:rsidR="00614E15" w:rsidRPr="00614E15">
        <w:rPr>
          <w:rFonts w:ascii="Arial" w:hAnsi="Arial" w:cs="Arial"/>
          <w:sz w:val="20"/>
          <w:szCs w:val="20"/>
          <w:lang w:val="sv-SE"/>
        </w:rPr>
        <w:t>5</w:t>
      </w:r>
    </w:p>
    <w:p w:rsidR="00B26BC7" w:rsidRPr="00614E15" w:rsidRDefault="00B26BC7" w:rsidP="00A17F8E">
      <w:pPr>
        <w:rPr>
          <w:rFonts w:ascii="Arial" w:hAnsi="Arial" w:cs="Arial"/>
          <w:sz w:val="20"/>
          <w:szCs w:val="20"/>
          <w:lang w:val="sv-SE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404234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0E60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4E15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1867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2114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D15CFB9D-71FC-B948-AF35-AFBE1A3F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948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