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EA3D67" w:rsidRDefault="00FA351E" w:rsidP="00BC2511">
      <w:pPr>
        <w:rPr>
          <w:rFonts w:ascii="Arial" w:hAnsi="Arial" w:cs="Arial"/>
          <w:b/>
          <w:sz w:val="20"/>
          <w:szCs w:val="20"/>
        </w:rPr>
      </w:pPr>
      <w:r w:rsidRPr="00EA3D67">
        <w:rPr>
          <w:rFonts w:ascii="Arial" w:hAnsi="Arial" w:cs="Arial"/>
          <w:b/>
          <w:sz w:val="20"/>
          <w:szCs w:val="20"/>
        </w:rPr>
        <w:t xml:space="preserve">KNX Schaltaktor 4fach, Grundgerät </w:t>
      </w:r>
      <w:r w:rsidR="003D5BA5" w:rsidRPr="00EA3D67">
        <w:rPr>
          <w:rFonts w:ascii="Arial" w:hAnsi="Arial" w:cs="Arial"/>
          <w:b/>
          <w:sz w:val="20"/>
          <w:szCs w:val="20"/>
        </w:rPr>
        <w:t>(</w:t>
      </w:r>
      <w:r w:rsidR="00D6411B" w:rsidRPr="00EA3D67">
        <w:rPr>
          <w:rFonts w:ascii="Arial" w:hAnsi="Arial" w:cs="Arial"/>
          <w:b/>
          <w:sz w:val="20"/>
          <w:szCs w:val="20"/>
        </w:rPr>
        <w:t xml:space="preserve">RMG 4 I </w:t>
      </w:r>
      <w:r w:rsidRPr="00EA3D67">
        <w:rPr>
          <w:rFonts w:ascii="Arial" w:hAnsi="Arial" w:cs="Arial"/>
          <w:b/>
          <w:sz w:val="20"/>
          <w:szCs w:val="20"/>
        </w:rPr>
        <w:t>KNX</w:t>
      </w:r>
      <w:r w:rsidR="00B26BC7" w:rsidRPr="00EA3D67">
        <w:rPr>
          <w:rFonts w:ascii="Arial" w:hAnsi="Arial" w:cs="Arial"/>
          <w:b/>
          <w:sz w:val="20"/>
          <w:szCs w:val="20"/>
        </w:rPr>
        <w:t>)</w:t>
      </w:r>
    </w:p>
    <w:p w:rsidR="00FA437B" w:rsidRPr="00EA3D6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ab/>
      </w:r>
    </w:p>
    <w:p w:rsidR="002F61D5" w:rsidRPr="00EA3D67" w:rsidRDefault="00FA351E" w:rsidP="00DC1E00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KNX Schaltaktor 4fach C-Last mit Relaisausgänge für 4 S</w:t>
      </w:r>
      <w:r w:rsidR="00D6411B" w:rsidRPr="00EA3D67">
        <w:rPr>
          <w:rFonts w:ascii="Arial" w:hAnsi="Arial" w:cs="Arial"/>
          <w:sz w:val="20"/>
          <w:szCs w:val="20"/>
        </w:rPr>
        <w:t>chaltkanäle; Erweiterbar mit RME 4I</w:t>
      </w:r>
      <w:r w:rsidRPr="00EA3D67">
        <w:rPr>
          <w:rFonts w:ascii="Arial" w:hAnsi="Arial" w:cs="Arial"/>
          <w:sz w:val="20"/>
          <w:szCs w:val="20"/>
        </w:rPr>
        <w:t xml:space="preserve"> </w:t>
      </w:r>
      <w:r w:rsidR="00351C22">
        <w:rPr>
          <w:rFonts w:ascii="Arial" w:hAnsi="Arial" w:cs="Arial"/>
          <w:sz w:val="20"/>
          <w:szCs w:val="20"/>
        </w:rPr>
        <w:t xml:space="preserve">auf </w:t>
      </w:r>
      <w:r w:rsidRPr="00EA3D67">
        <w:rPr>
          <w:rFonts w:ascii="Arial" w:hAnsi="Arial" w:cs="Arial"/>
          <w:sz w:val="20"/>
          <w:szCs w:val="20"/>
        </w:rPr>
        <w:t xml:space="preserve">bis zu 12 Kanäle; Reiheneinbaugehäuse; Breite 72 mm; </w:t>
      </w:r>
      <w:r w:rsidR="00351C22">
        <w:rPr>
          <w:rFonts w:ascii="Arial" w:hAnsi="Arial" w:cs="Arial"/>
          <w:sz w:val="20"/>
          <w:szCs w:val="20"/>
        </w:rPr>
        <w:t xml:space="preserve">Grundgerät und Busankopplung sind mechanisch trennbar und können unabhängig voneinander getauscht werden. </w:t>
      </w:r>
      <w:r w:rsidR="00DC1E00" w:rsidRPr="00EA3D67">
        <w:rPr>
          <w:rFonts w:ascii="Arial" w:hAnsi="Arial" w:cs="Arial"/>
          <w:sz w:val="20"/>
          <w:szCs w:val="20"/>
        </w:rPr>
        <w:t xml:space="preserve">LED Schaltzustandsanzeige </w:t>
      </w:r>
      <w:r w:rsidR="00EA3D67">
        <w:rPr>
          <w:rFonts w:ascii="Arial" w:hAnsi="Arial" w:cs="Arial"/>
          <w:sz w:val="20"/>
          <w:szCs w:val="20"/>
        </w:rPr>
        <w:t>je</w:t>
      </w:r>
      <w:r w:rsidR="00DC1E00" w:rsidRPr="00EA3D67">
        <w:rPr>
          <w:rFonts w:ascii="Arial" w:hAnsi="Arial" w:cs="Arial"/>
          <w:sz w:val="20"/>
          <w:szCs w:val="20"/>
        </w:rPr>
        <w:t xml:space="preserve"> Kanal; Handschalter mit Statusanzeige (auch ohne Busspannung); Verknüpfungen, Kontaktart (Öffner/Schließer) und Teilnahme an Zentralbefehlen wie Dauer-Ein, Dauer-Aus, Zentral-Schalten und Szene speichern/abrufen; Schaltfunktionen: Ein/Aus, Impuls, Ein/Aus-Verzögerung, Treppenlicht mit Vorwarnen nach DIN 18015-2</w:t>
      </w:r>
      <w:r w:rsidR="00EA3D67" w:rsidRPr="00EA3D67">
        <w:rPr>
          <w:rFonts w:ascii="Arial" w:hAnsi="Arial" w:cs="Arial"/>
          <w:sz w:val="20"/>
          <w:szCs w:val="20"/>
        </w:rPr>
        <w:t>; l</w:t>
      </w:r>
      <w:r w:rsidR="00DC1E00" w:rsidRPr="00EA3D67">
        <w:rPr>
          <w:rFonts w:ascii="Arial" w:hAnsi="Arial" w:cs="Arial"/>
          <w:sz w:val="20"/>
          <w:szCs w:val="20"/>
        </w:rPr>
        <w:t>ogische Verknüpfungen: Sperren, UND, Freigeben, ODER</w:t>
      </w:r>
      <w:r w:rsidR="00EA3D67" w:rsidRPr="00EA3D67">
        <w:rPr>
          <w:rFonts w:ascii="Arial" w:hAnsi="Arial" w:cs="Arial"/>
          <w:sz w:val="20"/>
          <w:szCs w:val="20"/>
        </w:rPr>
        <w:t xml:space="preserve">; </w:t>
      </w:r>
      <w:r w:rsidR="00DC1E00" w:rsidRPr="00EA3D67">
        <w:rPr>
          <w:rFonts w:ascii="Arial" w:hAnsi="Arial" w:cs="Arial"/>
          <w:sz w:val="20"/>
          <w:szCs w:val="20"/>
        </w:rPr>
        <w:t>Rückmelde-Objekt für jeden Kanal</w:t>
      </w:r>
      <w:r w:rsidR="00EA3D67" w:rsidRPr="00EA3D67">
        <w:rPr>
          <w:rFonts w:ascii="Arial" w:hAnsi="Arial" w:cs="Arial"/>
          <w:sz w:val="20"/>
          <w:szCs w:val="20"/>
        </w:rPr>
        <w:t>,</w:t>
      </w:r>
      <w:r w:rsidR="00DC1E00" w:rsidRPr="00EA3D67">
        <w:rPr>
          <w:rFonts w:ascii="Arial" w:hAnsi="Arial" w:cs="Arial"/>
          <w:sz w:val="20"/>
          <w:szCs w:val="20"/>
        </w:rPr>
        <w:t xml:space="preserve"> Zentral-Objekte mit und ohne </w:t>
      </w:r>
      <w:r w:rsidR="00EA3D67" w:rsidRPr="00EA3D67">
        <w:rPr>
          <w:rFonts w:ascii="Arial" w:hAnsi="Arial" w:cs="Arial"/>
          <w:sz w:val="20"/>
          <w:szCs w:val="20"/>
        </w:rPr>
        <w:t>Priorität,</w:t>
      </w:r>
      <w:r w:rsidR="00DC1E00" w:rsidRPr="00EA3D67">
        <w:rPr>
          <w:rFonts w:ascii="Arial" w:hAnsi="Arial" w:cs="Arial"/>
          <w:sz w:val="20"/>
          <w:szCs w:val="20"/>
        </w:rPr>
        <w:t xml:space="preserve"> Szenen abrufen und speichern (Objekt)</w:t>
      </w:r>
      <w:r w:rsidR="00EA3D67" w:rsidRPr="00EA3D67">
        <w:rPr>
          <w:rFonts w:ascii="Arial" w:hAnsi="Arial" w:cs="Arial"/>
          <w:sz w:val="20"/>
          <w:szCs w:val="20"/>
        </w:rPr>
        <w:t xml:space="preserve">; </w:t>
      </w:r>
      <w:r w:rsidR="00DC1E00" w:rsidRPr="00EA3D67">
        <w:rPr>
          <w:rFonts w:ascii="Arial" w:hAnsi="Arial" w:cs="Arial"/>
          <w:sz w:val="20"/>
          <w:szCs w:val="20"/>
        </w:rPr>
        <w:t>Szenenobjekt</w:t>
      </w:r>
      <w:r w:rsidR="00351C22">
        <w:rPr>
          <w:rFonts w:ascii="Arial" w:hAnsi="Arial" w:cs="Arial"/>
          <w:sz w:val="20"/>
          <w:szCs w:val="20"/>
        </w:rPr>
        <w:t xml:space="preserve"> für jeden Kanal</w:t>
      </w:r>
      <w:r w:rsidR="00EA3D67" w:rsidRPr="00EA3D67">
        <w:rPr>
          <w:rFonts w:ascii="Arial" w:hAnsi="Arial" w:cs="Arial"/>
          <w:sz w:val="20"/>
          <w:szCs w:val="20"/>
        </w:rPr>
        <w:t xml:space="preserve">; </w:t>
      </w:r>
      <w:r w:rsidR="005C6248">
        <w:rPr>
          <w:rFonts w:ascii="Arial" w:hAnsi="Arial" w:cs="Arial"/>
          <w:sz w:val="20"/>
          <w:szCs w:val="20"/>
        </w:rPr>
        <w:t>Schaltleistung: 16</w:t>
      </w:r>
      <w:r w:rsidR="006D434C">
        <w:rPr>
          <w:rFonts w:ascii="Arial" w:hAnsi="Arial" w:cs="Arial"/>
          <w:sz w:val="20"/>
          <w:szCs w:val="20"/>
        </w:rPr>
        <w:t>(10)</w:t>
      </w:r>
      <w:r w:rsidR="005C6248">
        <w:rPr>
          <w:rFonts w:ascii="Arial" w:hAnsi="Arial" w:cs="Arial"/>
          <w:sz w:val="20"/>
          <w:szCs w:val="20"/>
        </w:rPr>
        <w:t>A/250V~</w:t>
      </w:r>
      <w:r w:rsidR="003C1CC7">
        <w:rPr>
          <w:rFonts w:ascii="Arial" w:hAnsi="Arial" w:cs="Arial"/>
          <w:sz w:val="20"/>
          <w:szCs w:val="20"/>
        </w:rPr>
        <w:t xml:space="preserve"> </w:t>
      </w:r>
    </w:p>
    <w:p w:rsidR="00545257" w:rsidRPr="00EA3D67" w:rsidRDefault="008655B4" w:rsidP="008655B4">
      <w:pPr>
        <w:tabs>
          <w:tab w:val="left" w:pos="10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>...</w:t>
      </w:r>
    </w:p>
    <w:p w:rsidR="002F61D5" w:rsidRDefault="002F61D5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FA351E" w:rsidRDefault="00A17F8E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Typ: </w:t>
      </w:r>
      <w:r w:rsidR="00FA351E" w:rsidRPr="00FA351E">
        <w:rPr>
          <w:rFonts w:ascii="Arial" w:hAnsi="Arial" w:cs="Arial"/>
          <w:sz w:val="20"/>
          <w:szCs w:val="20"/>
        </w:rPr>
        <w:t xml:space="preserve">RMG 4 </w:t>
      </w:r>
      <w:r w:rsidR="00D6411B">
        <w:rPr>
          <w:rFonts w:ascii="Arial" w:hAnsi="Arial" w:cs="Arial"/>
          <w:sz w:val="20"/>
          <w:szCs w:val="20"/>
        </w:rPr>
        <w:t>I</w:t>
      </w:r>
      <w:r w:rsidR="00DC1E00">
        <w:rPr>
          <w:rFonts w:ascii="Arial" w:hAnsi="Arial" w:cs="Arial"/>
          <w:sz w:val="20"/>
          <w:szCs w:val="20"/>
        </w:rPr>
        <w:t xml:space="preserve"> </w:t>
      </w:r>
      <w:r w:rsidR="00FA351E" w:rsidRPr="00FA351E">
        <w:rPr>
          <w:rFonts w:ascii="Arial" w:hAnsi="Arial" w:cs="Arial"/>
          <w:sz w:val="20"/>
          <w:szCs w:val="20"/>
        </w:rPr>
        <w:t>KNX</w:t>
      </w:r>
    </w:p>
    <w:p w:rsidR="00B8047B" w:rsidRPr="00FA351E" w:rsidRDefault="00227259" w:rsidP="00A17F8E">
      <w:pPr>
        <w:rPr>
          <w:rFonts w:ascii="Arial" w:hAnsi="Arial" w:cs="Arial"/>
          <w:sz w:val="20"/>
          <w:szCs w:val="20"/>
        </w:rPr>
      </w:pPr>
      <w:r w:rsidRPr="00EA23C5">
        <w:rPr>
          <w:rFonts w:ascii="Arial" w:hAnsi="Arial" w:cs="Arial"/>
          <w:sz w:val="20"/>
          <w:szCs w:val="20"/>
        </w:rPr>
        <w:t xml:space="preserve">Bestell-Nr.: </w:t>
      </w:r>
      <w:r w:rsidR="00EA3D67">
        <w:rPr>
          <w:rFonts w:ascii="Arial" w:hAnsi="Arial" w:cs="Arial"/>
          <w:sz w:val="20"/>
          <w:szCs w:val="20"/>
        </w:rPr>
        <w:t>4930210</w:t>
      </w:r>
    </w:p>
    <w:p w:rsidR="00B26BC7" w:rsidRPr="00B26BC7" w:rsidRDefault="00B26BC7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358360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5B97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349FAE5C-0B7C-2743-B235-604867F7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876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