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852C6" w14:textId="1CB50D03" w:rsidR="0008399B" w:rsidRPr="00DA30E6" w:rsidRDefault="00DA30E6">
      <w:pPr>
        <w:rPr>
          <w:rFonts w:ascii="Arial" w:hAnsi="Arial" w:cs="Arial"/>
          <w:b/>
          <w:sz w:val="20"/>
          <w:szCs w:val="20"/>
        </w:rPr>
      </w:pPr>
      <w:r w:rsidRPr="00DA30E6">
        <w:rPr>
          <w:rFonts w:ascii="Arial" w:hAnsi="Arial" w:cs="Arial"/>
          <w:b/>
          <w:sz w:val="20"/>
          <w:szCs w:val="20"/>
        </w:rPr>
        <w:t xml:space="preserve">Digitale Zeitschaltuhr, </w:t>
      </w:r>
      <w:r w:rsidR="000B6F60" w:rsidRPr="000B6F60">
        <w:rPr>
          <w:rFonts w:ascii="Arial" w:hAnsi="Arial" w:cs="Arial"/>
          <w:b/>
          <w:sz w:val="20"/>
          <w:szCs w:val="20"/>
        </w:rPr>
        <w:t>Jahres- und Astro-Programm</w:t>
      </w:r>
      <w:r w:rsidRPr="00DA30E6">
        <w:rPr>
          <w:rFonts w:ascii="Arial" w:hAnsi="Arial" w:cs="Arial"/>
          <w:b/>
          <w:sz w:val="20"/>
          <w:szCs w:val="20"/>
        </w:rPr>
        <w:t xml:space="preserve">, </w:t>
      </w:r>
      <w:r w:rsidR="001E0705">
        <w:rPr>
          <w:rFonts w:ascii="Arial" w:hAnsi="Arial" w:cs="Arial"/>
          <w:b/>
          <w:sz w:val="20"/>
          <w:szCs w:val="20"/>
        </w:rPr>
        <w:t>2</w:t>
      </w:r>
      <w:r w:rsidR="000B6F60">
        <w:rPr>
          <w:rFonts w:ascii="Arial" w:hAnsi="Arial" w:cs="Arial"/>
          <w:b/>
          <w:sz w:val="20"/>
          <w:szCs w:val="20"/>
        </w:rPr>
        <w:t xml:space="preserve"> Kanäle</w:t>
      </w:r>
      <w:r w:rsidRPr="00DA30E6">
        <w:rPr>
          <w:rFonts w:ascii="Arial" w:hAnsi="Arial" w:cs="Arial"/>
          <w:b/>
          <w:sz w:val="20"/>
          <w:szCs w:val="20"/>
        </w:rPr>
        <w:t>, App-Programmierung</w:t>
      </w:r>
      <w:r w:rsidR="000B6F60">
        <w:rPr>
          <w:rFonts w:ascii="Arial" w:hAnsi="Arial" w:cs="Arial"/>
          <w:b/>
          <w:sz w:val="20"/>
          <w:szCs w:val="20"/>
        </w:rPr>
        <w:t xml:space="preserve"> per BLE</w:t>
      </w:r>
      <w:r w:rsidRPr="00DA30E6">
        <w:rPr>
          <w:rFonts w:ascii="Arial" w:hAnsi="Arial" w:cs="Arial"/>
          <w:b/>
          <w:sz w:val="20"/>
          <w:szCs w:val="20"/>
        </w:rPr>
        <w:t xml:space="preserve">, DCF oder </w:t>
      </w:r>
      <w:r w:rsidR="000B6F60">
        <w:rPr>
          <w:rFonts w:ascii="Arial" w:hAnsi="Arial" w:cs="Arial"/>
          <w:b/>
          <w:sz w:val="20"/>
          <w:szCs w:val="20"/>
        </w:rPr>
        <w:t>GNSS/</w:t>
      </w:r>
      <w:r w:rsidRPr="00DA30E6">
        <w:rPr>
          <w:rFonts w:ascii="Arial" w:hAnsi="Arial" w:cs="Arial"/>
          <w:b/>
          <w:sz w:val="20"/>
          <w:szCs w:val="20"/>
        </w:rPr>
        <w:t>GPS</w:t>
      </w:r>
      <w:r w:rsidR="000B6F60">
        <w:rPr>
          <w:rFonts w:ascii="Arial" w:hAnsi="Arial" w:cs="Arial"/>
          <w:b/>
          <w:sz w:val="20"/>
          <w:szCs w:val="20"/>
        </w:rPr>
        <w:t xml:space="preserve"> möglich</w:t>
      </w:r>
      <w:r w:rsidRPr="00DA30E6">
        <w:rPr>
          <w:rFonts w:ascii="Arial" w:hAnsi="Arial" w:cs="Arial"/>
          <w:b/>
          <w:sz w:val="20"/>
          <w:szCs w:val="20"/>
        </w:rPr>
        <w:t xml:space="preserve"> </w:t>
      </w:r>
      <w:r w:rsidR="0008399B" w:rsidRPr="00DA30E6">
        <w:rPr>
          <w:rFonts w:ascii="Arial" w:hAnsi="Arial" w:cs="Arial"/>
          <w:b/>
          <w:sz w:val="20"/>
          <w:szCs w:val="20"/>
        </w:rPr>
        <w:t>(</w:t>
      </w:r>
      <w:r w:rsidRPr="00DA30E6">
        <w:rPr>
          <w:rFonts w:ascii="Arial" w:hAnsi="Arial" w:cs="Arial"/>
          <w:b/>
          <w:sz w:val="20"/>
          <w:szCs w:val="20"/>
        </w:rPr>
        <w:t xml:space="preserve">TR </w:t>
      </w:r>
      <w:r w:rsidR="000B6F60">
        <w:rPr>
          <w:rFonts w:ascii="Arial" w:hAnsi="Arial" w:cs="Arial"/>
          <w:b/>
          <w:sz w:val="20"/>
          <w:szCs w:val="20"/>
        </w:rPr>
        <w:t>64</w:t>
      </w:r>
      <w:r w:rsidR="001E0705">
        <w:rPr>
          <w:rFonts w:ascii="Arial" w:hAnsi="Arial" w:cs="Arial"/>
          <w:b/>
          <w:sz w:val="20"/>
          <w:szCs w:val="20"/>
        </w:rPr>
        <w:t>2</w:t>
      </w:r>
      <w:r w:rsidRPr="00DA30E6">
        <w:rPr>
          <w:rFonts w:ascii="Arial" w:hAnsi="Arial" w:cs="Arial"/>
          <w:b/>
          <w:sz w:val="20"/>
          <w:szCs w:val="20"/>
        </w:rPr>
        <w:t xml:space="preserve"> top3 </w:t>
      </w:r>
      <w:r w:rsidR="000B6F60">
        <w:rPr>
          <w:rFonts w:ascii="Arial" w:hAnsi="Arial" w:cs="Arial"/>
          <w:b/>
          <w:sz w:val="20"/>
          <w:szCs w:val="20"/>
        </w:rPr>
        <w:t xml:space="preserve">BLE </w:t>
      </w:r>
      <w:r w:rsidRPr="00DA30E6">
        <w:rPr>
          <w:rFonts w:ascii="Arial" w:hAnsi="Arial" w:cs="Arial"/>
          <w:b/>
          <w:sz w:val="20"/>
          <w:szCs w:val="20"/>
        </w:rPr>
        <w:t>RC</w:t>
      </w:r>
      <w:r w:rsidR="0008399B" w:rsidRPr="00DA30E6">
        <w:rPr>
          <w:rFonts w:ascii="Arial" w:hAnsi="Arial" w:cs="Arial"/>
          <w:b/>
          <w:sz w:val="20"/>
          <w:szCs w:val="20"/>
        </w:rPr>
        <w:t>)</w:t>
      </w:r>
    </w:p>
    <w:p w14:paraId="139C3207" w14:textId="77777777" w:rsidR="008433A6" w:rsidRPr="00DA30E6" w:rsidRDefault="008433A6">
      <w:pPr>
        <w:rPr>
          <w:rFonts w:ascii="Arial" w:hAnsi="Arial" w:cs="Arial"/>
          <w:sz w:val="20"/>
          <w:szCs w:val="20"/>
        </w:rPr>
      </w:pPr>
    </w:p>
    <w:p w14:paraId="6A37F492" w14:textId="704C0CC6" w:rsidR="00C15312" w:rsidRDefault="00DA30E6" w:rsidP="000B6F60">
      <w:pPr>
        <w:rPr>
          <w:rFonts w:ascii="Arial" w:hAnsi="Arial" w:cs="Arial"/>
          <w:sz w:val="20"/>
          <w:szCs w:val="20"/>
        </w:rPr>
      </w:pPr>
      <w:r w:rsidRPr="00DA30E6">
        <w:rPr>
          <w:rFonts w:ascii="Arial" w:hAnsi="Arial" w:cs="Arial"/>
          <w:sz w:val="20"/>
          <w:szCs w:val="20"/>
        </w:rPr>
        <w:t xml:space="preserve">Digitale Zeitschaltuhr für DIN-Schiene, </w:t>
      </w:r>
      <w:r w:rsidR="001E0705">
        <w:rPr>
          <w:rFonts w:ascii="Arial" w:hAnsi="Arial" w:cs="Arial"/>
          <w:sz w:val="20"/>
          <w:szCs w:val="20"/>
        </w:rPr>
        <w:t>2</w:t>
      </w:r>
      <w:r w:rsidRPr="00DA30E6">
        <w:rPr>
          <w:rFonts w:ascii="Arial" w:hAnsi="Arial" w:cs="Arial"/>
          <w:sz w:val="20"/>
          <w:szCs w:val="20"/>
        </w:rPr>
        <w:t xml:space="preserve"> </w:t>
      </w:r>
      <w:r w:rsidR="000B6F60">
        <w:rPr>
          <w:rFonts w:ascii="Arial" w:hAnsi="Arial" w:cs="Arial"/>
          <w:sz w:val="20"/>
          <w:szCs w:val="20"/>
        </w:rPr>
        <w:t>Kanäle</w:t>
      </w:r>
      <w:r w:rsidRPr="00DA30E6">
        <w:rPr>
          <w:rFonts w:ascii="Arial" w:hAnsi="Arial" w:cs="Arial"/>
          <w:sz w:val="20"/>
          <w:szCs w:val="20"/>
        </w:rPr>
        <w:t xml:space="preserve">, </w:t>
      </w:r>
      <w:r w:rsidR="000B6F60" w:rsidRPr="000B6F60">
        <w:rPr>
          <w:rFonts w:ascii="Arial" w:hAnsi="Arial" w:cs="Arial"/>
          <w:sz w:val="20"/>
          <w:szCs w:val="20"/>
        </w:rPr>
        <w:t>Jahres- und Astro-Programm</w:t>
      </w:r>
      <w:r w:rsidRPr="00DA30E6">
        <w:rPr>
          <w:rFonts w:ascii="Arial" w:hAnsi="Arial" w:cs="Arial"/>
          <w:sz w:val="20"/>
          <w:szCs w:val="20"/>
        </w:rPr>
        <w:t xml:space="preserve">, DCF- oder </w:t>
      </w:r>
      <w:r w:rsidR="000B6F60">
        <w:rPr>
          <w:rFonts w:ascii="Arial" w:hAnsi="Arial" w:cs="Arial"/>
          <w:sz w:val="20"/>
          <w:szCs w:val="20"/>
        </w:rPr>
        <w:t>GNSS/</w:t>
      </w:r>
      <w:r w:rsidRPr="00DA30E6">
        <w:rPr>
          <w:rFonts w:ascii="Arial" w:hAnsi="Arial" w:cs="Arial"/>
          <w:sz w:val="20"/>
          <w:szCs w:val="20"/>
        </w:rPr>
        <w:t xml:space="preserve">GPS-Funksteuerung mit externer Antenne möglich, </w:t>
      </w:r>
      <w:r w:rsidR="000B6F60" w:rsidRPr="000B6F60">
        <w:rPr>
          <w:rFonts w:ascii="Arial" w:hAnsi="Arial" w:cs="Arial"/>
          <w:sz w:val="20"/>
          <w:szCs w:val="20"/>
        </w:rPr>
        <w:t>App-Programmierung durch integriertes BLE-Modul</w:t>
      </w:r>
      <w:r w:rsidR="000B6F60">
        <w:rPr>
          <w:rFonts w:ascii="Arial" w:hAnsi="Arial" w:cs="Arial"/>
          <w:sz w:val="20"/>
          <w:szCs w:val="20"/>
        </w:rPr>
        <w:t>, u</w:t>
      </w:r>
      <w:r w:rsidR="000B6F60" w:rsidRPr="000B6F60">
        <w:rPr>
          <w:rFonts w:ascii="Arial" w:hAnsi="Arial" w:cs="Arial"/>
          <w:sz w:val="20"/>
          <w:szCs w:val="20"/>
        </w:rPr>
        <w:t>mfangreiche Jahresuhrfunktionen</w:t>
      </w:r>
      <w:r w:rsidR="000B6F60">
        <w:rPr>
          <w:rFonts w:ascii="Arial" w:hAnsi="Arial" w:cs="Arial"/>
          <w:sz w:val="20"/>
          <w:szCs w:val="20"/>
        </w:rPr>
        <w:t>, a</w:t>
      </w:r>
      <w:r w:rsidR="000B6F60" w:rsidRPr="000B6F60">
        <w:rPr>
          <w:rFonts w:ascii="Arial" w:hAnsi="Arial" w:cs="Arial"/>
          <w:sz w:val="20"/>
          <w:szCs w:val="20"/>
        </w:rPr>
        <w:t xml:space="preserve">stronomische Schaltfunktion (automatische Berechnung der </w:t>
      </w:r>
      <w:proofErr w:type="spellStart"/>
      <w:r w:rsidR="000B6F60" w:rsidRPr="000B6F60">
        <w:rPr>
          <w:rFonts w:ascii="Arial" w:hAnsi="Arial" w:cs="Arial"/>
          <w:sz w:val="20"/>
          <w:szCs w:val="20"/>
        </w:rPr>
        <w:t>Sonnenauf</w:t>
      </w:r>
      <w:proofErr w:type="spellEnd"/>
      <w:r w:rsidR="000B6F60" w:rsidRPr="000B6F60">
        <w:rPr>
          <w:rFonts w:ascii="Arial" w:hAnsi="Arial" w:cs="Arial"/>
          <w:sz w:val="20"/>
          <w:szCs w:val="20"/>
        </w:rPr>
        <w:t>- und Untergangszeiten für das ganze Jahr)</w:t>
      </w:r>
      <w:r w:rsidR="000B6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B6F60" w:rsidRPr="000B6F60">
        <w:rPr>
          <w:rFonts w:ascii="Arial" w:hAnsi="Arial" w:cs="Arial"/>
          <w:sz w:val="20"/>
          <w:szCs w:val="20"/>
        </w:rPr>
        <w:t>Astro</w:t>
      </w:r>
      <w:proofErr w:type="spellEnd"/>
      <w:r w:rsidR="000B6F60" w:rsidRPr="000B6F60">
        <w:rPr>
          <w:rFonts w:ascii="Arial" w:hAnsi="Arial" w:cs="Arial"/>
          <w:sz w:val="20"/>
          <w:szCs w:val="20"/>
        </w:rPr>
        <w:t xml:space="preserve"> je Kanal auswählbar „3 Astrobereiche: Sonnenuntergang, Dämmerung, Dunkelheit</w:t>
      </w:r>
      <w:r w:rsidR="000B6F60">
        <w:rPr>
          <w:rFonts w:ascii="Arial" w:hAnsi="Arial" w:cs="Arial"/>
          <w:sz w:val="20"/>
          <w:szCs w:val="20"/>
        </w:rPr>
        <w:t xml:space="preserve">, </w:t>
      </w:r>
      <w:r w:rsidR="000B6F60" w:rsidRPr="000B6F60">
        <w:rPr>
          <w:rFonts w:ascii="Arial" w:hAnsi="Arial" w:cs="Arial"/>
          <w:sz w:val="20"/>
          <w:szCs w:val="20"/>
        </w:rPr>
        <w:t xml:space="preserve">Offset zum Anpassen der </w:t>
      </w:r>
      <w:proofErr w:type="spellStart"/>
      <w:r w:rsidR="000B6F60" w:rsidRPr="000B6F60">
        <w:rPr>
          <w:rFonts w:ascii="Arial" w:hAnsi="Arial" w:cs="Arial"/>
          <w:sz w:val="20"/>
          <w:szCs w:val="20"/>
        </w:rPr>
        <w:t>Sonnenauf</w:t>
      </w:r>
      <w:proofErr w:type="spellEnd"/>
      <w:r w:rsidR="000B6F60" w:rsidRPr="000B6F60">
        <w:rPr>
          <w:rFonts w:ascii="Arial" w:hAnsi="Arial" w:cs="Arial"/>
          <w:sz w:val="20"/>
          <w:szCs w:val="20"/>
        </w:rPr>
        <w:t>- und Untergangszeiten</w:t>
      </w:r>
      <w:r w:rsidR="000B6F60">
        <w:rPr>
          <w:rFonts w:ascii="Arial" w:hAnsi="Arial" w:cs="Arial"/>
          <w:sz w:val="20"/>
          <w:szCs w:val="20"/>
        </w:rPr>
        <w:t xml:space="preserve">, </w:t>
      </w:r>
      <w:r w:rsidR="000B6F60" w:rsidRPr="000B6F60">
        <w:rPr>
          <w:rFonts w:ascii="Arial" w:hAnsi="Arial" w:cs="Arial"/>
          <w:sz w:val="20"/>
          <w:szCs w:val="20"/>
        </w:rPr>
        <w:t>Earth Hour vorprogrammiert bis 2044</w:t>
      </w:r>
      <w:r w:rsidR="000B6F60">
        <w:rPr>
          <w:rFonts w:ascii="Arial" w:hAnsi="Arial" w:cs="Arial"/>
          <w:sz w:val="20"/>
          <w:szCs w:val="20"/>
        </w:rPr>
        <w:t xml:space="preserve">, </w:t>
      </w:r>
      <w:r w:rsidR="001E0705">
        <w:rPr>
          <w:rFonts w:ascii="Arial" w:hAnsi="Arial" w:cs="Arial"/>
          <w:sz w:val="20"/>
          <w:szCs w:val="20"/>
        </w:rPr>
        <w:t>2</w:t>
      </w:r>
      <w:r w:rsidR="000B6F60">
        <w:rPr>
          <w:rFonts w:ascii="Arial" w:hAnsi="Arial" w:cs="Arial"/>
          <w:sz w:val="20"/>
          <w:szCs w:val="20"/>
        </w:rPr>
        <w:t xml:space="preserve"> </w:t>
      </w:r>
      <w:r w:rsidRPr="00DA30E6">
        <w:rPr>
          <w:rFonts w:ascii="Arial" w:hAnsi="Arial" w:cs="Arial"/>
          <w:sz w:val="20"/>
          <w:szCs w:val="20"/>
        </w:rPr>
        <w:t>externe Eing</w:t>
      </w:r>
      <w:r w:rsidR="000B6F60">
        <w:rPr>
          <w:rFonts w:ascii="Arial" w:hAnsi="Arial" w:cs="Arial"/>
          <w:sz w:val="20"/>
          <w:szCs w:val="20"/>
        </w:rPr>
        <w:t>änge</w:t>
      </w:r>
      <w:r w:rsidRPr="00DA30E6">
        <w:rPr>
          <w:rFonts w:ascii="Arial" w:hAnsi="Arial" w:cs="Arial"/>
          <w:sz w:val="20"/>
          <w:szCs w:val="20"/>
        </w:rPr>
        <w:t>, Sonder</w:t>
      </w:r>
      <w:r w:rsidR="000B6F60">
        <w:rPr>
          <w:rFonts w:ascii="Arial" w:hAnsi="Arial" w:cs="Arial"/>
          <w:sz w:val="20"/>
          <w:szCs w:val="20"/>
        </w:rPr>
        <w:t>-/Impuls- und Zyklus</w:t>
      </w:r>
      <w:r w:rsidRPr="00DA30E6">
        <w:rPr>
          <w:rFonts w:ascii="Arial" w:hAnsi="Arial" w:cs="Arial"/>
          <w:sz w:val="20"/>
          <w:szCs w:val="20"/>
        </w:rPr>
        <w:t xml:space="preserve">programm, Breite </w:t>
      </w:r>
      <w:r w:rsidR="00E70FF6">
        <w:rPr>
          <w:rFonts w:ascii="Arial" w:hAnsi="Arial" w:cs="Arial"/>
          <w:sz w:val="20"/>
          <w:szCs w:val="20"/>
        </w:rPr>
        <w:t>3</w:t>
      </w:r>
      <w:r w:rsidRPr="00DA30E6">
        <w:rPr>
          <w:rFonts w:ascii="Arial" w:hAnsi="Arial" w:cs="Arial"/>
          <w:sz w:val="20"/>
          <w:szCs w:val="20"/>
        </w:rPr>
        <w:t xml:space="preserve"> TE, 600 Watt LED-Leistung</w:t>
      </w:r>
      <w:r w:rsidR="000B6F60">
        <w:rPr>
          <w:rFonts w:ascii="Arial" w:hAnsi="Arial" w:cs="Arial"/>
          <w:sz w:val="20"/>
          <w:szCs w:val="20"/>
        </w:rPr>
        <w:t xml:space="preserve"> mit </w:t>
      </w:r>
      <w:r w:rsidR="000B6F60" w:rsidRPr="000B6F60">
        <w:rPr>
          <w:rFonts w:ascii="Arial" w:hAnsi="Arial" w:cs="Arial"/>
          <w:sz w:val="20"/>
          <w:szCs w:val="20"/>
        </w:rPr>
        <w:t>Nulldurchgangsschaltung</w:t>
      </w:r>
      <w:r w:rsidRPr="00DA30E6">
        <w:rPr>
          <w:rFonts w:ascii="Arial" w:hAnsi="Arial" w:cs="Arial"/>
          <w:sz w:val="20"/>
          <w:szCs w:val="20"/>
        </w:rPr>
        <w:t>, 800 Ampere/200 Mikrosekunden Einschaltstrom, 0,</w:t>
      </w:r>
      <w:r w:rsidR="000B6F60">
        <w:rPr>
          <w:rFonts w:ascii="Arial" w:hAnsi="Arial" w:cs="Arial"/>
          <w:sz w:val="20"/>
          <w:szCs w:val="20"/>
        </w:rPr>
        <w:t>5</w:t>
      </w:r>
      <w:r w:rsidRPr="00DA30E6">
        <w:rPr>
          <w:rFonts w:ascii="Arial" w:hAnsi="Arial" w:cs="Arial"/>
          <w:sz w:val="20"/>
          <w:szCs w:val="20"/>
        </w:rPr>
        <w:t xml:space="preserve"> Watt Stand-by Leistung, </w:t>
      </w:r>
      <w:r w:rsidR="000B6F60">
        <w:rPr>
          <w:rFonts w:ascii="Arial" w:hAnsi="Arial" w:cs="Arial"/>
          <w:sz w:val="20"/>
          <w:szCs w:val="20"/>
        </w:rPr>
        <w:t xml:space="preserve">10 Jahre Gangreserve, </w:t>
      </w:r>
      <w:proofErr w:type="spellStart"/>
      <w:r w:rsidRPr="00DA30E6">
        <w:rPr>
          <w:rFonts w:ascii="Arial" w:hAnsi="Arial" w:cs="Arial"/>
          <w:sz w:val="20"/>
          <w:szCs w:val="20"/>
        </w:rPr>
        <w:t>DuoFix</w:t>
      </w:r>
      <w:proofErr w:type="spellEnd"/>
      <w:r w:rsidRPr="00DA30E6">
        <w:rPr>
          <w:rFonts w:ascii="Arial" w:hAnsi="Arial" w:cs="Arial"/>
          <w:sz w:val="20"/>
          <w:szCs w:val="20"/>
        </w:rPr>
        <w:t xml:space="preserve"> Steckklemmen, </w:t>
      </w:r>
      <w:r w:rsidR="000B6F60">
        <w:rPr>
          <w:rFonts w:ascii="Arial" w:hAnsi="Arial" w:cs="Arial"/>
          <w:sz w:val="20"/>
          <w:szCs w:val="20"/>
        </w:rPr>
        <w:t>vor</w:t>
      </w:r>
      <w:r w:rsidRPr="00DA30E6">
        <w:rPr>
          <w:rFonts w:ascii="Arial" w:hAnsi="Arial" w:cs="Arial"/>
          <w:sz w:val="20"/>
          <w:szCs w:val="20"/>
        </w:rPr>
        <w:t>programmierte Sommer-/Winterzeitumstellung, OBELISK-Schnittstelle für PC-Programmierung</w:t>
      </w:r>
      <w:r w:rsidR="000B6F60">
        <w:rPr>
          <w:rFonts w:ascii="Arial" w:hAnsi="Arial" w:cs="Arial"/>
          <w:sz w:val="20"/>
          <w:szCs w:val="20"/>
        </w:rPr>
        <w:t xml:space="preserve">, </w:t>
      </w:r>
      <w:r w:rsidR="000B6F60" w:rsidRPr="000B6F60">
        <w:rPr>
          <w:rFonts w:ascii="Arial" w:hAnsi="Arial" w:cs="Arial"/>
          <w:sz w:val="20"/>
          <w:szCs w:val="20"/>
        </w:rPr>
        <w:t>Integrierter Betriebsstundenzähler</w:t>
      </w:r>
      <w:r w:rsidR="000B6F60">
        <w:rPr>
          <w:rFonts w:ascii="Arial" w:hAnsi="Arial" w:cs="Arial"/>
          <w:sz w:val="20"/>
          <w:szCs w:val="20"/>
        </w:rPr>
        <w:t xml:space="preserve">, </w:t>
      </w:r>
      <w:r w:rsidR="000B6F60" w:rsidRPr="000B6F60">
        <w:rPr>
          <w:rFonts w:ascii="Arial" w:hAnsi="Arial" w:cs="Arial"/>
          <w:sz w:val="20"/>
          <w:szCs w:val="20"/>
        </w:rPr>
        <w:t>Betriebsspannung 110-230 V AC</w:t>
      </w:r>
      <w:r w:rsidR="00900C4D">
        <w:rPr>
          <w:rFonts w:ascii="Arial" w:hAnsi="Arial" w:cs="Arial"/>
          <w:sz w:val="20"/>
          <w:szCs w:val="20"/>
        </w:rPr>
        <w:t>, 800 Speicherplätze</w:t>
      </w:r>
    </w:p>
    <w:p w14:paraId="7FAE8546" w14:textId="77777777" w:rsidR="00DA30E6" w:rsidRDefault="00DA30E6" w:rsidP="0008399B">
      <w:pPr>
        <w:rPr>
          <w:rFonts w:ascii="Arial" w:hAnsi="Arial" w:cs="Arial"/>
          <w:sz w:val="20"/>
          <w:szCs w:val="20"/>
        </w:rPr>
      </w:pPr>
    </w:p>
    <w:p w14:paraId="653BDD17" w14:textId="77777777" w:rsidR="008433A6" w:rsidRDefault="008433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Liefern, montieren, betriebsfertig anschließen und einstellen</w:t>
      </w:r>
    </w:p>
    <w:p w14:paraId="449DB590" w14:textId="77777777" w:rsidR="008433A6" w:rsidRDefault="008433A6">
      <w:pPr>
        <w:rPr>
          <w:rFonts w:ascii="Arial" w:hAnsi="Arial" w:cs="Arial"/>
          <w:sz w:val="20"/>
          <w:szCs w:val="20"/>
        </w:rPr>
      </w:pPr>
    </w:p>
    <w:p w14:paraId="714B38F7" w14:textId="77777777" w:rsidR="008433A6" w:rsidRPr="006F2FC3" w:rsidRDefault="008433A6">
      <w:pPr>
        <w:rPr>
          <w:rFonts w:ascii="Arial" w:hAnsi="Arial" w:cs="Arial"/>
          <w:sz w:val="20"/>
          <w:szCs w:val="20"/>
          <w:lang w:val="en-GB"/>
        </w:rPr>
      </w:pPr>
      <w:r w:rsidRPr="006F2FC3">
        <w:rPr>
          <w:rFonts w:ascii="Arial" w:hAnsi="Arial" w:cs="Arial"/>
          <w:sz w:val="20"/>
          <w:szCs w:val="20"/>
          <w:lang w:val="en-GB"/>
        </w:rPr>
        <w:t>Fabrikat: Theben</w:t>
      </w:r>
    </w:p>
    <w:p w14:paraId="6DD54BE5" w14:textId="77777777" w:rsidR="008433A6" w:rsidRPr="006F2FC3" w:rsidRDefault="008433A6">
      <w:pPr>
        <w:rPr>
          <w:rFonts w:ascii="Arial" w:hAnsi="Arial" w:cs="Arial"/>
          <w:sz w:val="20"/>
          <w:szCs w:val="20"/>
          <w:lang w:val="en-GB"/>
        </w:rPr>
      </w:pPr>
    </w:p>
    <w:p w14:paraId="2ACD8D40" w14:textId="272C1B5A" w:rsidR="00C15312" w:rsidRPr="00DA30E6" w:rsidRDefault="0008399B">
      <w:pPr>
        <w:rPr>
          <w:rFonts w:ascii="Arial" w:hAnsi="Arial" w:cs="Arial"/>
          <w:sz w:val="20"/>
          <w:szCs w:val="20"/>
          <w:lang w:val="en-GB"/>
        </w:rPr>
      </w:pPr>
      <w:proofErr w:type="spellStart"/>
      <w:r w:rsidRPr="00DA30E6">
        <w:rPr>
          <w:rFonts w:ascii="Arial" w:hAnsi="Arial" w:cs="Arial"/>
          <w:sz w:val="20"/>
          <w:szCs w:val="20"/>
          <w:lang w:val="en-GB"/>
        </w:rPr>
        <w:t>Typ</w:t>
      </w:r>
      <w:proofErr w:type="spellEnd"/>
      <w:r w:rsidRPr="00DA30E6">
        <w:rPr>
          <w:rFonts w:ascii="Arial" w:hAnsi="Arial" w:cs="Arial"/>
          <w:sz w:val="20"/>
          <w:szCs w:val="20"/>
          <w:lang w:val="en-GB"/>
        </w:rPr>
        <w:t xml:space="preserve">: </w:t>
      </w:r>
      <w:r w:rsidR="00DA30E6" w:rsidRPr="00DA30E6">
        <w:rPr>
          <w:rFonts w:ascii="Arial" w:hAnsi="Arial" w:cs="Arial"/>
          <w:sz w:val="20"/>
          <w:szCs w:val="20"/>
          <w:lang w:val="en-GB"/>
        </w:rPr>
        <w:t>TR 6</w:t>
      </w:r>
      <w:r w:rsidR="000B6F60">
        <w:rPr>
          <w:rFonts w:ascii="Arial" w:hAnsi="Arial" w:cs="Arial"/>
          <w:sz w:val="20"/>
          <w:szCs w:val="20"/>
          <w:lang w:val="en-GB"/>
        </w:rPr>
        <w:t>4</w:t>
      </w:r>
      <w:r w:rsidR="001E0705">
        <w:rPr>
          <w:rFonts w:ascii="Arial" w:hAnsi="Arial" w:cs="Arial"/>
          <w:sz w:val="20"/>
          <w:szCs w:val="20"/>
          <w:lang w:val="en-GB"/>
        </w:rPr>
        <w:t>2</w:t>
      </w:r>
      <w:r w:rsidR="00DA30E6" w:rsidRPr="00DA30E6">
        <w:rPr>
          <w:rFonts w:ascii="Arial" w:hAnsi="Arial" w:cs="Arial"/>
          <w:sz w:val="20"/>
          <w:szCs w:val="20"/>
          <w:lang w:val="en-GB"/>
        </w:rPr>
        <w:t xml:space="preserve"> top3 </w:t>
      </w:r>
      <w:r w:rsidR="000B6F60">
        <w:rPr>
          <w:rFonts w:ascii="Arial" w:hAnsi="Arial" w:cs="Arial"/>
          <w:sz w:val="20"/>
          <w:szCs w:val="20"/>
          <w:lang w:val="en-GB"/>
        </w:rPr>
        <w:t xml:space="preserve">BLE </w:t>
      </w:r>
      <w:r w:rsidR="00DA30E6" w:rsidRPr="00DA30E6">
        <w:rPr>
          <w:rFonts w:ascii="Arial" w:hAnsi="Arial" w:cs="Arial"/>
          <w:sz w:val="20"/>
          <w:szCs w:val="20"/>
          <w:lang w:val="en-GB"/>
        </w:rPr>
        <w:t>RC</w:t>
      </w:r>
    </w:p>
    <w:p w14:paraId="2AB089DF" w14:textId="2A141A83" w:rsidR="008433A6" w:rsidRPr="00DA30E6" w:rsidRDefault="0008399B">
      <w:pPr>
        <w:rPr>
          <w:rFonts w:ascii="Arial" w:hAnsi="Arial" w:cs="Arial"/>
          <w:sz w:val="20"/>
          <w:szCs w:val="20"/>
          <w:lang w:val="en-GB"/>
        </w:rPr>
      </w:pPr>
      <w:proofErr w:type="spellStart"/>
      <w:r w:rsidRPr="00DA30E6">
        <w:rPr>
          <w:rFonts w:ascii="Arial" w:hAnsi="Arial" w:cs="Arial"/>
          <w:sz w:val="20"/>
          <w:szCs w:val="20"/>
          <w:lang w:val="en-GB"/>
        </w:rPr>
        <w:t>Bestell</w:t>
      </w:r>
      <w:proofErr w:type="spellEnd"/>
      <w:r w:rsidRPr="00DA30E6">
        <w:rPr>
          <w:rFonts w:ascii="Arial" w:hAnsi="Arial" w:cs="Arial"/>
          <w:sz w:val="20"/>
          <w:szCs w:val="20"/>
          <w:lang w:val="en-GB"/>
        </w:rPr>
        <w:t xml:space="preserve">-Nr.: </w:t>
      </w:r>
      <w:r w:rsidR="000B6F60">
        <w:rPr>
          <w:rFonts w:ascii="Arial" w:hAnsi="Arial" w:cs="Arial"/>
          <w:sz w:val="20"/>
          <w:szCs w:val="20"/>
          <w:lang w:val="en-GB"/>
        </w:rPr>
        <w:t>6440330</w:t>
      </w:r>
    </w:p>
    <w:p w14:paraId="51A5FDA3" w14:textId="77777777" w:rsidR="008433A6" w:rsidRPr="00DA30E6" w:rsidRDefault="008433A6">
      <w:pPr>
        <w:rPr>
          <w:rFonts w:ascii="Arial" w:hAnsi="Arial" w:cs="Arial"/>
          <w:sz w:val="20"/>
          <w:szCs w:val="20"/>
          <w:lang w:val="en-GB"/>
        </w:rPr>
      </w:pPr>
    </w:p>
    <w:p w14:paraId="680036F2" w14:textId="77777777" w:rsidR="008433A6" w:rsidRPr="0008399B" w:rsidRDefault="0008399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Einheit: ST</w:t>
      </w:r>
    </w:p>
    <w:sectPr w:rsidR="008433A6" w:rsidRPr="000839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9B"/>
    <w:rsid w:val="0008399B"/>
    <w:rsid w:val="000B6F60"/>
    <w:rsid w:val="001043DA"/>
    <w:rsid w:val="001E0705"/>
    <w:rsid w:val="006F2FC3"/>
    <w:rsid w:val="00727F49"/>
    <w:rsid w:val="008433A6"/>
    <w:rsid w:val="008B3D86"/>
    <w:rsid w:val="008F20B4"/>
    <w:rsid w:val="00900C4D"/>
    <w:rsid w:val="00945D2F"/>
    <w:rsid w:val="00C15312"/>
    <w:rsid w:val="00D01A68"/>
    <w:rsid w:val="00DA30E6"/>
    <w:rsid w:val="00E70FF6"/>
    <w:rsid w:val="00FD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AFEE9A"/>
  <w15:chartTrackingRefBased/>
  <w15:docId w15:val="{E2B96F58-605C-4CAE-9F73-2A156785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1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Reiheneinbau-Ausschaltvorwarner kombinierbar mit Treppenlichtzeitschalter (ELPA 4)</vt:lpstr>
    </vt:vector>
  </TitlesOfParts>
  <Company>Theben AG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Mohl Arne moa - Theben AG</cp:lastModifiedBy>
  <cp:revision>7</cp:revision>
  <dcterms:created xsi:type="dcterms:W3CDTF">2025-06-11T04:54:00Z</dcterms:created>
  <dcterms:modified xsi:type="dcterms:W3CDTF">2025-06-11T07:17:00Z</dcterms:modified>
</cp:coreProperties>
</file>