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69986F" w14:textId="77777777" w:rsidR="006F1686" w:rsidRDefault="00FA46DD">
      <w:pPr>
        <w:pStyle w:val="P68B1DB1-berschrift11"/>
        <w:spacing w:after="240"/>
      </w:pPr>
      <w:r>
        <w:rPr>
          <w:noProof/>
        </w:rPr>
        <w:pict w14:anchorId="47AA990F">
          <v:shape id="_x0000_i1025" type="#_x0000_t75" alt="" style="width:10.05pt;height:10.9pt;mso-width-percent:0;mso-height-percent:0;mso-width-percent:0;mso-height-percent:0" o:bullet="t">
            <v:imagedata r:id="rId7" o:title="artE19E"/>
          </v:shape>
        </w:pict>
      </w:r>
      <w:r>
        <w:t>Rilevatore di presenza theRonda P360-110 DALI UP WH</w:t>
      </w:r>
    </w:p>
    <w:p w14:paraId="4009CFAA" w14:textId="77777777" w:rsidR="006F1686" w:rsidRDefault="00FA46DD">
      <w:pPr>
        <w:pStyle w:val="P68B1DB1-Aufzhlung2"/>
        <w:ind w:left="0" w:firstLine="0"/>
      </w:pPr>
      <w:r>
        <w:t>Rilevatore di presenza a infrarossi passivi per montaggio a soffitto; controllo automatico dell’illuminazione in base alla presenza e alla luminosità con regolazione luce costante o modalità di commutazione; range di rilevamento circolare di circa 360°, 452</w:t>
      </w:r>
      <w:r>
        <w:rPr>
          <w:vertAlign w:val="superscript"/>
        </w:rPr>
        <w:t>m²</w:t>
      </w:r>
      <w:r>
        <w:t xml:space="preserve"> in piedi (Ø 24 m), 50</w:t>
      </w:r>
      <w:r>
        <w:rPr>
          <w:vertAlign w:val="superscript"/>
        </w:rPr>
        <w:t>m²</w:t>
      </w:r>
      <w:r>
        <w:t xml:space="preserve"> seduti (Ø 8 m)</w:t>
      </w:r>
      <w:r>
        <w:rPr>
          <w:vertAlign w:val="superscript"/>
        </w:rPr>
        <w:t xml:space="preserve"> </w:t>
      </w:r>
      <w:r>
        <w:t xml:space="preserve">con un’altezza di montaggio di 3 m, </w:t>
      </w:r>
      <w:r>
        <w:rPr>
          <w:b/>
        </w:rPr>
        <w:t>altezza di montaggio fino a 15 m</w:t>
      </w:r>
      <w:r>
        <w:t>, limitazione dell’area con clip di copertura (opzionali);</w:t>
      </w:r>
    </w:p>
    <w:p w14:paraId="5370888B" w14:textId="77777777" w:rsidR="006F1686" w:rsidRDefault="00FA46DD">
      <w:pPr>
        <w:pStyle w:val="P68B1DB1-Aufzhlung2"/>
        <w:ind w:left="0" w:firstLine="0"/>
      </w:pPr>
      <w:r>
        <w:t>Misurazione in luce mista adatta a lampade fluorescenti (FL/PL/ESL), alogene/a incandescenza e LED;</w:t>
      </w:r>
    </w:p>
    <w:p w14:paraId="1F3329E5" w14:textId="77777777" w:rsidR="006F1686" w:rsidRDefault="00FA46DD">
      <w:pPr>
        <w:pStyle w:val="P68B1DB1-Aufzhlung2"/>
        <w:ind w:left="0" w:firstLine="0"/>
      </w:pPr>
      <w:r>
        <w:rPr>
          <w:spacing w:val="-3"/>
        </w:rPr>
        <w:t xml:space="preserve">Tensione di esercizio 110 - 230 V CA / 50 - 60 Hz, </w:t>
      </w:r>
      <w:r>
        <w:rPr>
          <w:b/>
          <w:spacing w:val="-3"/>
        </w:rPr>
        <w:t>consumo proprio circa 0,3 W</w:t>
      </w:r>
      <w:r>
        <w:rPr>
          <w:spacing w:val="-3"/>
        </w:rPr>
        <w:t xml:space="preserve">; </w:t>
      </w:r>
      <w:r>
        <w:rPr>
          <w:b/>
        </w:rPr>
        <w:t>Grado di protezione IP 54</w:t>
      </w:r>
      <w:r>
        <w:t xml:space="preserve"> (una volta installato); interfaccia DALI conforme alla norma EN 62386 per un massimo di </w:t>
      </w:r>
      <w:r>
        <w:rPr>
          <w:b/>
        </w:rPr>
        <w:t>50 alimentatori DALI</w:t>
      </w:r>
      <w:r>
        <w:t>;</w:t>
      </w:r>
    </w:p>
    <w:p w14:paraId="08DAF12A" w14:textId="77777777" w:rsidR="006F1686" w:rsidRDefault="00FA46DD">
      <w:pPr>
        <w:pStyle w:val="P68B1DB1-Aufzhlung2"/>
        <w:tabs>
          <w:tab w:val="clear" w:pos="300"/>
          <w:tab w:val="left" w:pos="0"/>
        </w:tabs>
        <w:ind w:left="0" w:firstLine="0"/>
      </w:pPr>
      <w:r>
        <w:t xml:space="preserve">Facile messa in funzione senza programmazione di indirizzi di gruppo (DALI-Broadcast); regolazione luce costante o illuminazione dimmerabile in modalità di commutazione con e senza influsso luce diurna; funzionalità stand-by; valore di regolazione in stand-by </w:t>
      </w:r>
      <w:r>
        <w:rPr>
          <w:b/>
        </w:rPr>
        <w:t>regolabile in continuo dal 1 al 25%</w:t>
      </w:r>
      <w:r>
        <w:t xml:space="preserve"> come luce di orientamento; funzionamento commutabile tra modalità automatica o semiautomatica; valore predefinito di luminosità regolabile da circa 10 a 3000 lux, funzione di apprendimento tramite telecomando o pulsante; tempo di coda ad autoapprendimento da 10 s a 60 min; </w:t>
      </w:r>
      <w:r>
        <w:rPr>
          <w:b/>
        </w:rPr>
        <w:t>riduzione del tempo di coda in caso di presenza breve</w:t>
      </w:r>
      <w:r>
        <w:t xml:space="preserve"> (presenza di breve durata); Possibilità di collegamento</w:t>
      </w:r>
      <w:r>
        <w:rPr>
          <w:b/>
          <w:color w:val="auto"/>
        </w:rPr>
        <w:t xml:space="preserve"> a pulsanti convenzionali</w:t>
      </w:r>
      <w:r>
        <w:t xml:space="preserve"> per la regolazione manuale dell’intensità luminosa e la commutazione; </w:t>
      </w:r>
      <w:r>
        <w:rPr>
          <w:b/>
        </w:rPr>
        <w:t>comportamento selezionabile dopo l’azionamento del pulsante</w:t>
      </w:r>
      <w:r>
        <w:t xml:space="preserve"> (school, office); </w:t>
      </w:r>
      <w:r>
        <w:rPr>
          <w:b/>
        </w:rPr>
        <w:t>funzionalità scene</w:t>
      </w:r>
      <w:r>
        <w:t xml:space="preserve">; </w:t>
      </w:r>
      <w:r>
        <w:rPr>
          <w:b/>
        </w:rPr>
        <w:t>semplice calibrazione della misurazione della luminosità</w:t>
      </w:r>
      <w:r>
        <w:t xml:space="preserve"> tramite l’inserimento del valore in lux misurato (fattore di correzione ambientale); sensibilità di rilevamento regolabile; Parametrizzabile a distanza tramite telecomando; Impostazione estremamente semplice della modalità di risparmio energetico con la funzione «eco plus»; Modalità di prova per verificare il funzionamento e il range di rilevamento; Ampliamento del range di rilevamento tramite </w:t>
      </w:r>
      <w:r>
        <w:rPr>
          <w:b/>
        </w:rPr>
        <w:t>collegamento</w:t>
      </w:r>
      <w:r>
        <w:t>master-slave o master-master;</w:t>
      </w:r>
    </w:p>
    <w:p w14:paraId="526289DC" w14:textId="77777777" w:rsidR="006F1686" w:rsidRDefault="00FA46DD">
      <w:pPr>
        <w:pStyle w:val="P68B1DB1-Aufzhlung2"/>
        <w:ind w:left="0" w:firstLine="0"/>
      </w:pPr>
      <w:r>
        <w:t>Profondità di incasso 40 mm, montaggio a soffitto in scatola a incasso misura 1 o scatola a incasso a soffitto 68A, montaggio a filo soffitto possibile con telaio a vista 110A;</w:t>
      </w:r>
    </w:p>
    <w:p w14:paraId="294FA034" w14:textId="77777777" w:rsidR="006F1686" w:rsidRDefault="006F1686">
      <w:pPr>
        <w:spacing w:after="240"/>
        <w:rPr>
          <w:rFonts w:ascii="Arial" w:hAnsi="Arial" w:cs="Arial"/>
          <w:sz w:val="20"/>
        </w:rPr>
      </w:pPr>
    </w:p>
    <w:p w14:paraId="18C50135" w14:textId="77777777" w:rsidR="006F1686" w:rsidRDefault="00FA46DD">
      <w:pPr>
        <w:pStyle w:val="P68B1DB1-Standard3"/>
      </w:pPr>
      <w:r>
        <w:t>Tipo: theRonda P360-110 DALI UP WH</w:t>
      </w:r>
    </w:p>
    <w:p w14:paraId="58CBFF08" w14:textId="77777777" w:rsidR="006F1686" w:rsidRDefault="00FA46DD">
      <w:pPr>
        <w:pStyle w:val="P68B1DB1-Standard3"/>
      </w:pPr>
      <w:r>
        <w:t>Codice articolo: 2080040 (theRonda P360-110 DALI UP WH, bianco)</w:t>
      </w:r>
    </w:p>
    <w:p w14:paraId="2503B943" w14:textId="77777777" w:rsidR="006F1686" w:rsidRDefault="006F1686">
      <w:pPr>
        <w:rPr>
          <w:rFonts w:ascii="Arial" w:hAnsi="Arial" w:cs="Arial"/>
          <w:sz w:val="20"/>
        </w:rPr>
      </w:pPr>
    </w:p>
    <w:p w14:paraId="1AE713A3" w14:textId="77777777" w:rsidR="006F1686" w:rsidRDefault="00FA46DD">
      <w:pPr>
        <w:pStyle w:val="P68B1DB1-Standard4"/>
      </w:pPr>
      <w:r>
        <w:t>Unità: pz</w:t>
      </w:r>
    </w:p>
    <w:p w14:paraId="2DE914F4" w14:textId="77777777" w:rsidR="006F1686" w:rsidRDefault="006F1686">
      <w:pPr>
        <w:rPr>
          <w:rFonts w:ascii="Arial" w:hAnsi="Arial" w:cs="Arial"/>
          <w:sz w:val="20"/>
        </w:rPr>
      </w:pPr>
    </w:p>
    <w:p w14:paraId="61D5AC15" w14:textId="77777777" w:rsidR="006F1686" w:rsidRDefault="006F1686">
      <w:pPr>
        <w:rPr>
          <w:rFonts w:ascii="Arial" w:hAnsi="Arial" w:cs="Arial"/>
          <w:sz w:val="20"/>
        </w:rPr>
      </w:pPr>
    </w:p>
    <w:p w14:paraId="5D377A7E" w14:textId="77777777" w:rsidR="006F1686" w:rsidRDefault="00FA46DD">
      <w:pPr>
        <w:pStyle w:val="P68B1DB1-berschrift35"/>
      </w:pPr>
      <w:r>
        <w:t>Accessori</w:t>
      </w:r>
    </w:p>
    <w:p w14:paraId="34631DF3" w14:textId="77777777" w:rsidR="006F1686" w:rsidRDefault="006F1686">
      <w:pPr>
        <w:rPr>
          <w:rFonts w:ascii="Arial" w:hAnsi="Arial" w:cs="Arial"/>
          <w:sz w:val="20"/>
        </w:rPr>
      </w:pPr>
    </w:p>
    <w:p w14:paraId="5980B583" w14:textId="77777777" w:rsidR="006F1686" w:rsidRDefault="00FA46DD">
      <w:pPr>
        <w:pStyle w:val="P68B1DB1-berschrift35"/>
        <w:spacing w:after="120"/>
      </w:pPr>
      <w:r>
        <w:t>Telecomando universale «theSenda B», telecomando utente con luxmetro integrato</w:t>
      </w:r>
    </w:p>
    <w:p w14:paraId="39C0524F" w14:textId="77777777" w:rsidR="006F1686" w:rsidRDefault="00FA46DD">
      <w:pPr>
        <w:pStyle w:val="P68B1DB1-Standard3"/>
        <w:rPr>
          <w:sz w:val="10"/>
          <w:szCs w:val="10"/>
        </w:rPr>
      </w:pPr>
      <w:r>
        <w:t xml:space="preserve">Telecomando per installatori: con l'app gratuita "theSenda Plug" (per iOS/Android) è possibile effettuare in modo intuitivo la messa in funzione o la regolazione dei parametri. I set di parametri possono essere salvati e denominati in base alle esigenze del cliente ed </w:t>
      </w:r>
      <w:r>
        <w:rPr>
          <w:color w:val="000000"/>
        </w:rPr>
        <w:t>l'archiviazione, ad esempio tramite e-mail.</w:t>
      </w:r>
    </w:p>
    <w:p w14:paraId="222273DF" w14:textId="77777777" w:rsidR="006F1686" w:rsidRDefault="00FA46DD">
      <w:pPr>
        <w:pStyle w:val="P68B1DB1-Standard3"/>
        <w:spacing w:after="40"/>
        <w:rPr>
          <w:bCs/>
        </w:rPr>
      </w:pPr>
      <w:r>
        <w:t xml:space="preserve">Codice articolo: </w:t>
      </w:r>
      <w:r>
        <w:tab/>
      </w:r>
      <w:r>
        <w:tab/>
      </w:r>
      <w:r>
        <w:tab/>
        <w:t>9070985</w:t>
      </w:r>
    </w:p>
    <w:p w14:paraId="1EC3FD51" w14:textId="77777777" w:rsidR="006F1686" w:rsidRDefault="006F1686">
      <w:pPr>
        <w:rPr>
          <w:rFonts w:ascii="Arial" w:hAnsi="Arial" w:cs="Arial"/>
          <w:sz w:val="20"/>
        </w:rPr>
      </w:pPr>
    </w:p>
    <w:p w14:paraId="5FD9D4F4" w14:textId="77777777" w:rsidR="006F1686" w:rsidRDefault="00FA46DD">
      <w:pPr>
        <w:pStyle w:val="P68B1DB1-berschrift35"/>
      </w:pPr>
      <w:r>
        <w:t>Telecomando di assistenza «theSenda P»</w:t>
      </w:r>
    </w:p>
    <w:p w14:paraId="42CB8E40" w14:textId="77777777" w:rsidR="006F1686" w:rsidRDefault="00FA46DD">
      <w:pPr>
        <w:pStyle w:val="P68B1DB1-Standard3"/>
      </w:pPr>
      <w:r>
        <w:t>Opzionale</w:t>
      </w:r>
    </w:p>
    <w:p w14:paraId="161CFF86" w14:textId="77777777" w:rsidR="006F1686" w:rsidRDefault="00FA46DD">
      <w:pPr>
        <w:pStyle w:val="P68B1DB1-Standard3"/>
      </w:pPr>
      <w:r>
        <w:t>Codice articolo: 9070910</w:t>
      </w:r>
    </w:p>
    <w:p w14:paraId="71837C16" w14:textId="77777777" w:rsidR="006F1686" w:rsidRDefault="006F1686">
      <w:pPr>
        <w:pStyle w:val="berschrift3"/>
        <w:rPr>
          <w:rFonts w:ascii="Arial" w:hAnsi="Arial" w:cs="Arial"/>
          <w:sz w:val="20"/>
        </w:rPr>
      </w:pPr>
    </w:p>
    <w:p w14:paraId="5C3C51F9" w14:textId="77777777" w:rsidR="006F1686" w:rsidRDefault="006F1686">
      <w:pPr>
        <w:rPr>
          <w:rFonts w:ascii="Arial" w:hAnsi="Arial" w:cs="Arial"/>
          <w:sz w:val="20"/>
        </w:rPr>
      </w:pPr>
    </w:p>
    <w:p w14:paraId="1121B293" w14:textId="77777777" w:rsidR="006F1686" w:rsidRDefault="00FA46DD">
      <w:pPr>
        <w:pStyle w:val="P68B1DB1-berschrift35"/>
      </w:pPr>
      <w:r>
        <w:t>Telecomando utente «theSenda S»</w:t>
      </w:r>
    </w:p>
    <w:p w14:paraId="54CC6135" w14:textId="77777777" w:rsidR="006F1686" w:rsidRDefault="00FA46DD">
      <w:pPr>
        <w:pStyle w:val="P68B1DB1-Standard3"/>
      </w:pPr>
      <w:r>
        <w:t>Opzionale</w:t>
      </w:r>
    </w:p>
    <w:p w14:paraId="3FBA03BF" w14:textId="77777777" w:rsidR="006F1686" w:rsidRDefault="00FA46DD">
      <w:pPr>
        <w:pStyle w:val="P68B1DB1-Standard3"/>
      </w:pPr>
      <w:r>
        <w:t>Codice articolo: 9070911</w:t>
      </w:r>
    </w:p>
    <w:p w14:paraId="5E2E99E4" w14:textId="77777777" w:rsidR="006F1686" w:rsidRDefault="006F1686">
      <w:pPr>
        <w:rPr>
          <w:rFonts w:ascii="Arial" w:hAnsi="Arial" w:cs="Arial"/>
          <w:sz w:val="20"/>
        </w:rPr>
      </w:pPr>
    </w:p>
    <w:p w14:paraId="3CD2A20F" w14:textId="77777777" w:rsidR="006F1686" w:rsidRDefault="006F1686">
      <w:pPr>
        <w:rPr>
          <w:rFonts w:ascii="Arial" w:hAnsi="Arial" w:cs="Arial"/>
          <w:sz w:val="20"/>
        </w:rPr>
      </w:pPr>
    </w:p>
    <w:p w14:paraId="779FF84E" w14:textId="77777777" w:rsidR="006F1686" w:rsidRDefault="006F1686">
      <w:pPr>
        <w:rPr>
          <w:rFonts w:ascii="Arial" w:hAnsi="Arial" w:cs="Arial"/>
          <w:sz w:val="20"/>
        </w:rPr>
      </w:pPr>
    </w:p>
    <w:p w14:paraId="4F05C6E4" w14:textId="77777777" w:rsidR="006F1686" w:rsidRDefault="00FA46DD">
      <w:pPr>
        <w:pStyle w:val="P68B1DB1-berschrift35"/>
      </w:pPr>
      <w:r>
        <w:t>Telaio a vista 110A WH</w:t>
      </w:r>
    </w:p>
    <w:p w14:paraId="2BABEABA" w14:textId="77777777" w:rsidR="006F1686" w:rsidRDefault="00FA46DD">
      <w:pPr>
        <w:pStyle w:val="P68B1DB1-Standard3"/>
      </w:pPr>
      <w:r>
        <w:lastRenderedPageBreak/>
        <w:t>Opzionale</w:t>
      </w:r>
    </w:p>
    <w:p w14:paraId="7D58A980" w14:textId="77777777" w:rsidR="006F1686" w:rsidRDefault="00FA46DD">
      <w:pPr>
        <w:pStyle w:val="P68B1DB1-Standard3"/>
      </w:pPr>
      <w:r>
        <w:t>Codice articolo: 9070912</w:t>
      </w:r>
    </w:p>
    <w:p w14:paraId="4D6B7BBA" w14:textId="77777777" w:rsidR="006F1686" w:rsidRDefault="006F1686">
      <w:pPr>
        <w:rPr>
          <w:rFonts w:ascii="Arial" w:hAnsi="Arial" w:cs="Arial"/>
          <w:sz w:val="20"/>
        </w:rPr>
      </w:pPr>
    </w:p>
    <w:p w14:paraId="00AE8841" w14:textId="77777777" w:rsidR="006F1686" w:rsidRDefault="006F1686">
      <w:pPr>
        <w:rPr>
          <w:rFonts w:ascii="Arial" w:hAnsi="Arial" w:cs="Arial"/>
          <w:sz w:val="20"/>
        </w:rPr>
      </w:pPr>
    </w:p>
    <w:p w14:paraId="2F765B86" w14:textId="77777777" w:rsidR="006F1686" w:rsidRDefault="00FA46DD">
      <w:pPr>
        <w:pStyle w:val="P68B1DB1-berschrift35"/>
      </w:pPr>
      <w:r>
        <w:t>Scatola da incasso a soffitto 68A</w:t>
      </w:r>
    </w:p>
    <w:p w14:paraId="6AA1EC0F" w14:textId="77777777" w:rsidR="006F1686" w:rsidRDefault="00FA46DD">
      <w:pPr>
        <w:pStyle w:val="P68B1DB1-Standard3"/>
      </w:pPr>
      <w:r>
        <w:t>Opzionale</w:t>
      </w:r>
    </w:p>
    <w:p w14:paraId="60E9E71F" w14:textId="77777777" w:rsidR="006F1686" w:rsidRDefault="00FA46DD">
      <w:pPr>
        <w:pStyle w:val="P68B1DB1-Standard3"/>
      </w:pPr>
      <w:r>
        <w:t>Diametro di foratura 68 mm</w:t>
      </w:r>
    </w:p>
    <w:p w14:paraId="08546AC7" w14:textId="77777777" w:rsidR="006F1686" w:rsidRDefault="00FA46DD">
      <w:pPr>
        <w:pStyle w:val="P68B1DB1-Standard3"/>
      </w:pPr>
      <w:r>
        <w:t>Codice articolo: 9070992</w:t>
      </w:r>
    </w:p>
    <w:p w14:paraId="299117F4" w14:textId="77777777" w:rsidR="006F1686" w:rsidRDefault="006F1686">
      <w:pPr>
        <w:rPr>
          <w:rFonts w:ascii="Arial" w:hAnsi="Arial" w:cs="Arial"/>
          <w:sz w:val="20"/>
        </w:rPr>
      </w:pPr>
    </w:p>
    <w:p w14:paraId="3E50C64E" w14:textId="77777777" w:rsidR="006F1686" w:rsidRDefault="00FA46DD">
      <w:pPr>
        <w:pStyle w:val="P68B1DB1-berschrift35"/>
      </w:pPr>
      <w:r>
        <w:t>Clip di copertura per limitazione dell’area</w:t>
      </w:r>
    </w:p>
    <w:p w14:paraId="3BD46FEF" w14:textId="77777777" w:rsidR="006F1686" w:rsidRDefault="00FA46DD">
      <w:pPr>
        <w:pStyle w:val="P68B1DB1-Standard3"/>
      </w:pPr>
      <w:r>
        <w:t>Opzionale</w:t>
      </w:r>
    </w:p>
    <w:p w14:paraId="5FD6F63E" w14:textId="77777777" w:rsidR="006F1686" w:rsidRDefault="00FA46DD">
      <w:pPr>
        <w:pStyle w:val="P68B1DB1-Standard3"/>
      </w:pPr>
      <w:r>
        <w:t>Codice articolo: 9070921</w:t>
      </w:r>
    </w:p>
    <w:p w14:paraId="54B1A13B" w14:textId="77777777" w:rsidR="006F1686" w:rsidRDefault="006F1686">
      <w:pPr>
        <w:rPr>
          <w:rFonts w:ascii="Arial" w:hAnsi="Arial" w:cs="Arial"/>
          <w:sz w:val="20"/>
        </w:rPr>
      </w:pPr>
    </w:p>
    <w:sectPr w:rsidR="006F1686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32FABD" w14:textId="77777777" w:rsidR="00FA46DD" w:rsidRDefault="00FA46DD">
      <w:r>
        <w:separator/>
      </w:r>
    </w:p>
  </w:endnote>
  <w:endnote w:type="continuationSeparator" w:id="0">
    <w:p w14:paraId="5D556747" w14:textId="77777777" w:rsidR="00FA46DD" w:rsidRDefault="00FA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84"/>
      <w:gridCol w:w="4671"/>
    </w:tblGrid>
    <w:tr w:rsidR="006F1686" w14:paraId="0D26069C" w14:textId="77777777">
      <w:tc>
        <w:tcPr>
          <w:tcW w:w="4747" w:type="dxa"/>
        </w:tcPr>
        <w:p w14:paraId="2F29B37F" w14:textId="77777777" w:rsidR="006F1686" w:rsidRDefault="00FA46DD">
          <w:pPr>
            <w:pStyle w:val="P68B1DB1-Fuzeile6"/>
          </w:pPr>
          <w:r>
            <w:t>Con riserva di modifiche tecniche</w:t>
          </w:r>
        </w:p>
      </w:tc>
      <w:tc>
        <w:tcPr>
          <w:tcW w:w="4748" w:type="dxa"/>
        </w:tcPr>
        <w:p w14:paraId="6DD7DC29" w14:textId="77777777" w:rsidR="006F1686" w:rsidRDefault="006F1686">
          <w:pPr>
            <w:pStyle w:val="Fuzeile"/>
            <w:jc w:val="right"/>
            <w:rPr>
              <w:rFonts w:ascii="Arial" w:hAnsi="Arial" w:cs="Arial"/>
            </w:rPr>
          </w:pPr>
        </w:p>
      </w:tc>
    </w:tr>
  </w:tbl>
  <w:p w14:paraId="06D84FF0" w14:textId="77777777" w:rsidR="006F1686" w:rsidRDefault="00FA46DD">
    <w:pPr>
      <w:pStyle w:val="Fuzeil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882227" w14:textId="77777777" w:rsidR="00FA46DD" w:rsidRDefault="00FA46DD">
      <w:r>
        <w:separator/>
      </w:r>
    </w:p>
  </w:footnote>
  <w:footnote w:type="continuationSeparator" w:id="0">
    <w:p w14:paraId="4214D9CF" w14:textId="77777777" w:rsidR="00FA46DD" w:rsidRDefault="00FA4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0E2863" w14:textId="77777777" w:rsidR="006F1686" w:rsidRDefault="006F1686">
    <w:pPr>
      <w:pStyle w:val="Kopfzeile"/>
      <w:ind w:left="-1701"/>
    </w:pPr>
  </w:p>
  <w:p w14:paraId="37C6FDC3" w14:textId="18A3BAFD" w:rsidR="006F1686" w:rsidRDefault="006F1686">
    <w:pPr>
      <w:pStyle w:val="Kopf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47AA990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0.9pt" o:bullet="t">
        <v:imagedata r:id="rId1" o:title="artE19E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329752857">
    <w:abstractNumId w:val="2"/>
  </w:num>
  <w:num w:numId="2" w16cid:durableId="2101675645">
    <w:abstractNumId w:val="3"/>
  </w:num>
  <w:num w:numId="3" w16cid:durableId="477382700">
    <w:abstractNumId w:val="1"/>
  </w:num>
  <w:num w:numId="4" w16cid:durableId="19492405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392"/>
    <w:rsid w:val="0000085E"/>
    <w:rsid w:val="00007435"/>
    <w:rsid w:val="00027DFF"/>
    <w:rsid w:val="0008682A"/>
    <w:rsid w:val="000A7407"/>
    <w:rsid w:val="000B4392"/>
    <w:rsid w:val="000D0446"/>
    <w:rsid w:val="000E3A05"/>
    <w:rsid w:val="00136A01"/>
    <w:rsid w:val="001842F0"/>
    <w:rsid w:val="001B79A9"/>
    <w:rsid w:val="001E2FC5"/>
    <w:rsid w:val="001F49C8"/>
    <w:rsid w:val="001F5BF1"/>
    <w:rsid w:val="00227801"/>
    <w:rsid w:val="00250CE3"/>
    <w:rsid w:val="00261E93"/>
    <w:rsid w:val="002678A4"/>
    <w:rsid w:val="002B3288"/>
    <w:rsid w:val="002D071C"/>
    <w:rsid w:val="002D5877"/>
    <w:rsid w:val="00306E86"/>
    <w:rsid w:val="003242DD"/>
    <w:rsid w:val="003327EE"/>
    <w:rsid w:val="003567FA"/>
    <w:rsid w:val="00367E7C"/>
    <w:rsid w:val="003A6C78"/>
    <w:rsid w:val="003D717D"/>
    <w:rsid w:val="003E61CB"/>
    <w:rsid w:val="004276BE"/>
    <w:rsid w:val="00430F45"/>
    <w:rsid w:val="00461495"/>
    <w:rsid w:val="00490562"/>
    <w:rsid w:val="004930BB"/>
    <w:rsid w:val="004C07C4"/>
    <w:rsid w:val="004C610B"/>
    <w:rsid w:val="004E2972"/>
    <w:rsid w:val="004F2EB4"/>
    <w:rsid w:val="005116E4"/>
    <w:rsid w:val="00557AA9"/>
    <w:rsid w:val="00597988"/>
    <w:rsid w:val="005A73E7"/>
    <w:rsid w:val="00604C66"/>
    <w:rsid w:val="00616195"/>
    <w:rsid w:val="00622B3A"/>
    <w:rsid w:val="00630FC3"/>
    <w:rsid w:val="00643324"/>
    <w:rsid w:val="006573DC"/>
    <w:rsid w:val="00660A1C"/>
    <w:rsid w:val="00680D97"/>
    <w:rsid w:val="00694C68"/>
    <w:rsid w:val="006B75C9"/>
    <w:rsid w:val="006D2EDA"/>
    <w:rsid w:val="006D4E11"/>
    <w:rsid w:val="006E0D51"/>
    <w:rsid w:val="006F1686"/>
    <w:rsid w:val="006F4CAD"/>
    <w:rsid w:val="0070035F"/>
    <w:rsid w:val="00702395"/>
    <w:rsid w:val="00787F8A"/>
    <w:rsid w:val="007E0039"/>
    <w:rsid w:val="007E2268"/>
    <w:rsid w:val="008208C3"/>
    <w:rsid w:val="00852730"/>
    <w:rsid w:val="00857B98"/>
    <w:rsid w:val="00872719"/>
    <w:rsid w:val="00877D0C"/>
    <w:rsid w:val="008E010F"/>
    <w:rsid w:val="008F33C7"/>
    <w:rsid w:val="009002CC"/>
    <w:rsid w:val="00922419"/>
    <w:rsid w:val="00922DA6"/>
    <w:rsid w:val="00924BCB"/>
    <w:rsid w:val="00925F64"/>
    <w:rsid w:val="009262A0"/>
    <w:rsid w:val="009302EA"/>
    <w:rsid w:val="0093567A"/>
    <w:rsid w:val="00957B7B"/>
    <w:rsid w:val="009742FA"/>
    <w:rsid w:val="00983913"/>
    <w:rsid w:val="00990A4C"/>
    <w:rsid w:val="00994DE2"/>
    <w:rsid w:val="009A0436"/>
    <w:rsid w:val="009F6E61"/>
    <w:rsid w:val="00A41B0E"/>
    <w:rsid w:val="00A47C97"/>
    <w:rsid w:val="00A651B8"/>
    <w:rsid w:val="00A72AEF"/>
    <w:rsid w:val="00A961B4"/>
    <w:rsid w:val="00AB2128"/>
    <w:rsid w:val="00AB4B97"/>
    <w:rsid w:val="00AB62EA"/>
    <w:rsid w:val="00B345A1"/>
    <w:rsid w:val="00B440C2"/>
    <w:rsid w:val="00B73141"/>
    <w:rsid w:val="00B74EBA"/>
    <w:rsid w:val="00B978DB"/>
    <w:rsid w:val="00BF2E49"/>
    <w:rsid w:val="00C05DE7"/>
    <w:rsid w:val="00C1124C"/>
    <w:rsid w:val="00C203A0"/>
    <w:rsid w:val="00C71ECC"/>
    <w:rsid w:val="00C84303"/>
    <w:rsid w:val="00C8699D"/>
    <w:rsid w:val="00CA46A7"/>
    <w:rsid w:val="00CB1CD5"/>
    <w:rsid w:val="00CE1655"/>
    <w:rsid w:val="00CF20FB"/>
    <w:rsid w:val="00D00BF0"/>
    <w:rsid w:val="00D05F16"/>
    <w:rsid w:val="00D2759D"/>
    <w:rsid w:val="00D5190F"/>
    <w:rsid w:val="00D7757B"/>
    <w:rsid w:val="00D84889"/>
    <w:rsid w:val="00D86A0E"/>
    <w:rsid w:val="00D92C76"/>
    <w:rsid w:val="00D96261"/>
    <w:rsid w:val="00DA5A07"/>
    <w:rsid w:val="00DF1D3A"/>
    <w:rsid w:val="00DF4FE3"/>
    <w:rsid w:val="00E16F2D"/>
    <w:rsid w:val="00E21F87"/>
    <w:rsid w:val="00E41010"/>
    <w:rsid w:val="00E66107"/>
    <w:rsid w:val="00E769D5"/>
    <w:rsid w:val="00EB4AB1"/>
    <w:rsid w:val="00EC36C2"/>
    <w:rsid w:val="00EF3C84"/>
    <w:rsid w:val="00F233D6"/>
    <w:rsid w:val="00F27A91"/>
    <w:rsid w:val="00F55BBA"/>
    <w:rsid w:val="00FA46DD"/>
    <w:rsid w:val="00FB2CEC"/>
    <w:rsid w:val="00FC09A6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7930F9"/>
  <w15:chartTrackingRefBased/>
  <w15:docId w15:val="{B619DC55-2AC7-456D-8BFF-09FCD6446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0035F"/>
    <w:pPr>
      <w:autoSpaceDE w:val="0"/>
      <w:autoSpaceDN w:val="0"/>
      <w:adjustRightInd w:val="0"/>
    </w:pPr>
    <w:rPr>
      <w:rFonts w:ascii="Netto Offc Pro" w:hAnsi="Netto Offc Pro" w:cs="Netto Offc Pro"/>
      <w:color w:val="000000"/>
      <w:sz w:val="24"/>
      <w:szCs w:val="24"/>
    </w:rPr>
  </w:style>
  <w:style w:type="character" w:customStyle="1" w:styleId="A3">
    <w:name w:val="A3"/>
    <w:uiPriority w:val="99"/>
    <w:rsid w:val="0070035F"/>
    <w:rPr>
      <w:rFonts w:cs="Netto Offc Pro"/>
      <w:color w:val="000000"/>
    </w:rPr>
  </w:style>
  <w:style w:type="paragraph" w:customStyle="1" w:styleId="P68B1DB1-berschrift11">
    <w:name w:val="P68B1DB1-berschrift11"/>
    <w:basedOn w:val="berschrift1"/>
    <w:rPr>
      <w:rFonts w:ascii="Arial" w:hAnsi="Arial" w:cs="Arial"/>
      <w:sz w:val="20"/>
    </w:rPr>
  </w:style>
  <w:style w:type="paragraph" w:customStyle="1" w:styleId="P68B1DB1-Aufzhlung2">
    <w:name w:val="P68B1DB1-Aufzhlung2"/>
    <w:basedOn w:val="Aufzhlung"/>
    <w:rPr>
      <w:rFonts w:ascii="Arial" w:hAnsi="Arial" w:cs="Arial"/>
    </w:rPr>
  </w:style>
  <w:style w:type="paragraph" w:customStyle="1" w:styleId="P68B1DB1-Standard3">
    <w:name w:val="P68B1DB1-Standard3"/>
    <w:basedOn w:val="Standard"/>
    <w:rPr>
      <w:rFonts w:ascii="Arial" w:hAnsi="Arial" w:cs="Arial"/>
      <w:sz w:val="20"/>
    </w:rPr>
  </w:style>
  <w:style w:type="paragraph" w:customStyle="1" w:styleId="P68B1DB1-Standard4">
    <w:name w:val="P68B1DB1-Standard4"/>
    <w:basedOn w:val="Standard"/>
    <w:rPr>
      <w:rFonts w:ascii="Arial" w:hAnsi="Arial" w:cs="Arial"/>
      <w:b/>
      <w:sz w:val="20"/>
    </w:rPr>
  </w:style>
  <w:style w:type="paragraph" w:customStyle="1" w:styleId="P68B1DB1-berschrift35">
    <w:name w:val="P68B1DB1-berschrift35"/>
    <w:basedOn w:val="berschrift3"/>
    <w:rPr>
      <w:rFonts w:ascii="Arial" w:hAnsi="Arial" w:cs="Arial"/>
      <w:sz w:val="20"/>
    </w:rPr>
  </w:style>
  <w:style w:type="paragraph" w:customStyle="1" w:styleId="P68B1DB1-Fuzeile6">
    <w:name w:val="P68B1DB1-Fuzeile6"/>
    <w:basedOn w:val="Fuzeile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0476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693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447</Words>
  <Characters>2822</Characters>
  <Application>Microsoft Office Word</Application>
  <DocSecurity>4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cp:lastModifiedBy>Jürgen Schwitzer</cp:lastModifiedBy>
  <cp:revision>2</cp:revision>
  <cp:lastPrinted>2017-02-07T17:26:00Z</cp:lastPrinted>
  <dcterms:created xsi:type="dcterms:W3CDTF">2026-10-16T13:16:00Z</dcterms:created>
  <dcterms:modified xsi:type="dcterms:W3CDTF">2026-10-16T13:16:00Z</dcterms:modified>
</cp:coreProperties>
</file>