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60775" w:rsidRPr="00A628F6" w:rsidRDefault="00F36646" w:rsidP="0066077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Orologio da muro monofacciale KNX </w:t>
      </w:r>
      <w:r w:rsidR="00660775">
        <w:rPr>
          <w:rFonts w:ascii="Arial" w:hAnsi="Arial" w:cs="Arial"/>
          <w:b/>
          <w:sz w:val="20"/>
          <w:szCs w:val="20"/>
        </w:rPr>
        <w:t xml:space="preserve">, diametro 40 </w:t>
      </w:r>
      <w:r>
        <w:rPr>
          <w:rFonts w:ascii="Arial" w:hAnsi="Arial" w:cs="Arial"/>
          <w:b/>
          <w:sz w:val="20"/>
          <w:szCs w:val="20"/>
        </w:rPr>
        <w:t xml:space="preserve">cm, numeri arabi (OSIRIA 241 AR </w:t>
      </w:r>
      <w:r w:rsidR="00660775">
        <w:rPr>
          <w:rFonts w:ascii="Arial" w:hAnsi="Arial" w:cs="Arial"/>
          <w:b/>
          <w:sz w:val="20"/>
          <w:szCs w:val="20"/>
        </w:rPr>
        <w:t>KNX)</w:t>
      </w:r>
    </w:p>
    <w:p w:rsidR="00660775" w:rsidRPr="00A628F6" w:rsidRDefault="00660775" w:rsidP="00660775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660775" w:rsidRPr="0005438A" w:rsidRDefault="00F3664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Orologio da muro monofacciale KNX</w:t>
      </w:r>
      <w:r w:rsidR="00660775">
        <w:rPr>
          <w:rFonts w:ascii="Arial" w:hAnsi="Arial" w:cs="Arial"/>
          <w:sz w:val="20"/>
          <w:szCs w:val="20"/>
        </w:rPr>
        <w:t xml:space="preserve"> per interni, diametro quadrante 40 cm; quadrante in metallo bianco con numeri arabi neri; lancette a barra nere a norma DIN per l'indicazione delle ore e dei minuti; lancetta dei secondi rossa; plexiglas bombato a prova d'urto; contenitore metallico cromato di alta qualità; diametro 44,5 cm; altezza 7,2 cm; riserva di carica ca. 10 giorni.</w:t>
      </w:r>
    </w:p>
    <w:p w:rsidR="00660775" w:rsidRDefault="00660775" w:rsidP="00660775">
      <w:pPr>
        <w:rPr>
          <w:rFonts w:ascii="Arial" w:hAnsi="Arial" w:cs="Arial"/>
          <w:sz w:val="20"/>
          <w:szCs w:val="20"/>
        </w:rPr>
      </w:pPr>
    </w:p>
    <w:p w:rsidR="00660775" w:rsidRDefault="00660775">
      <w:pPr>
        <w:rPr>
          <w:rFonts w:ascii="Arial" w:hAnsi="Arial" w:cs="Arial"/>
          <w:sz w:val="20"/>
          <w:szCs w:val="20"/>
        </w:rPr>
      </w:pPr>
    </w:p>
    <w:p w:rsidR="00660775" w:rsidRDefault="00660775">
      <w:pPr>
        <w:rPr>
          <w:rFonts w:ascii="Arial" w:hAnsi="Arial" w:cs="Arial"/>
          <w:sz w:val="20"/>
          <w:szCs w:val="20"/>
        </w:rPr>
      </w:pPr>
    </w:p>
    <w:p w:rsidR="00660775" w:rsidRDefault="00660775">
      <w:pPr>
        <w:rPr>
          <w:rFonts w:ascii="Arial" w:hAnsi="Arial" w:cs="Arial"/>
          <w:sz w:val="20"/>
          <w:szCs w:val="20"/>
        </w:rPr>
      </w:pPr>
    </w:p>
    <w:p w:rsidR="00660775" w:rsidRDefault="00660775" w:rsidP="0066077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Montaggio e collegamento pronto per l'uso e impostazione</w:t>
      </w:r>
    </w:p>
    <w:p w:rsidR="00660775" w:rsidRDefault="00660775" w:rsidP="0066077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660775" w:rsidRDefault="00660775" w:rsidP="00660775">
      <w:pPr>
        <w:rPr>
          <w:rFonts w:ascii="Arial" w:hAnsi="Arial" w:cs="Arial"/>
          <w:sz w:val="20"/>
          <w:szCs w:val="20"/>
        </w:rPr>
      </w:pPr>
    </w:p>
    <w:p w:rsidR="00660775" w:rsidRDefault="00660775" w:rsidP="0066077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Prodotto: Theben</w:t>
      </w:r>
    </w:p>
    <w:p w:rsidR="00660775" w:rsidRDefault="00660775" w:rsidP="00660775">
      <w:pPr>
        <w:rPr>
          <w:rFonts w:ascii="Arial" w:hAnsi="Arial" w:cs="Arial"/>
          <w:sz w:val="20"/>
          <w:szCs w:val="20"/>
        </w:rPr>
      </w:pPr>
    </w:p>
    <w:p w:rsidR="00660775" w:rsidRDefault="00660775" w:rsidP="0066077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Modello: </w:t>
      </w:r>
      <w:r w:rsidR="00F36646">
        <w:rPr>
          <w:rFonts w:ascii="Arial" w:hAnsi="Arial" w:cs="Arial"/>
          <w:sz w:val="20"/>
          <w:szCs w:val="20"/>
        </w:rPr>
        <w:t>OSIRIA 241 AR  KNX</w:t>
      </w:r>
    </w:p>
    <w:p w:rsidR="00660775" w:rsidRDefault="00660775" w:rsidP="00660775">
      <w:pPr>
        <w:rPr>
          <w:rFonts w:ascii="Arial" w:hAnsi="Arial" w:cs="Arial"/>
          <w:sz w:val="20"/>
          <w:szCs w:val="20"/>
        </w:rPr>
      </w:pPr>
    </w:p>
    <w:p w:rsidR="00660775" w:rsidRDefault="00660775" w:rsidP="0066077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Cod.art. : </w:t>
      </w:r>
      <w:r w:rsidR="00F36646">
        <w:rPr>
          <w:rFonts w:ascii="Arial" w:hAnsi="Arial" w:cs="Arial"/>
          <w:sz w:val="20"/>
          <w:szCs w:val="20"/>
        </w:rPr>
        <w:t>5009240</w:t>
      </w:r>
    </w:p>
    <w:p w:rsidR="00660775" w:rsidRDefault="00660775" w:rsidP="00660775">
      <w:pPr>
        <w:rPr>
          <w:rFonts w:ascii="Arial" w:hAnsi="Arial" w:cs="Arial"/>
          <w:b/>
          <w:sz w:val="20"/>
          <w:szCs w:val="20"/>
        </w:rPr>
      </w:pPr>
    </w:p>
    <w:p w:rsidR="00660775" w:rsidRDefault="00660775" w:rsidP="0066077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Unità: PZ</w:t>
      </w:r>
    </w:p>
    <w:p w:rsidR="00660775" w:rsidRDefault="00660775" w:rsidP="00660775">
      <w:pPr>
        <w:rPr>
          <w:rFonts w:ascii="Arial" w:hAnsi="Arial" w:cs="Arial"/>
          <w:sz w:val="20"/>
          <w:szCs w:val="20"/>
        </w:rPr>
      </w:pPr>
    </w:p>
    <w:p w:rsidR="00660775" w:rsidRDefault="00660775">
      <w:pPr>
        <w:rPr>
          <w:rFonts w:ascii="Arial" w:hAnsi="Arial" w:cs="Arial"/>
          <w:sz w:val="20"/>
          <w:szCs w:val="20"/>
        </w:rPr>
      </w:pPr>
    </w:p>
    <w:p w:rsidR="00660775" w:rsidRDefault="00660775">
      <w:pPr>
        <w:rPr>
          <w:rFonts w:ascii="Arial" w:hAnsi="Arial" w:cs="Arial"/>
          <w:sz w:val="20"/>
          <w:szCs w:val="20"/>
        </w:rPr>
      </w:pPr>
    </w:p>
    <w:p w:rsidR="00660775" w:rsidRDefault="00660775">
      <w:pPr>
        <w:rPr>
          <w:rFonts w:ascii="Arial" w:hAnsi="Arial" w:cs="Arial"/>
          <w:sz w:val="20"/>
          <w:szCs w:val="20"/>
        </w:rPr>
      </w:pPr>
    </w:p>
    <w:p w:rsidR="00660775" w:rsidRDefault="00660775">
      <w:pPr>
        <w:rPr>
          <w:rFonts w:ascii="Arial" w:hAnsi="Arial" w:cs="Arial"/>
          <w:sz w:val="20"/>
          <w:szCs w:val="20"/>
        </w:rPr>
      </w:pPr>
    </w:p>
    <w:p w:rsidR="00660775" w:rsidRDefault="00660775">
      <w:pPr>
        <w:rPr>
          <w:rFonts w:ascii="Arial" w:hAnsi="Arial" w:cs="Arial"/>
          <w:sz w:val="20"/>
          <w:szCs w:val="20"/>
        </w:rPr>
      </w:pPr>
    </w:p>
    <w:p w:rsidR="00660775" w:rsidRDefault="00660775">
      <w:pPr>
        <w:rPr>
          <w:rFonts w:ascii="Arial" w:hAnsi="Arial" w:cs="Arial"/>
          <w:sz w:val="20"/>
          <w:szCs w:val="20"/>
        </w:rPr>
      </w:pPr>
    </w:p>
    <w:p w:rsidR="00660775" w:rsidRDefault="00660775">
      <w:pPr>
        <w:rPr>
          <w:rFonts w:ascii="Arial" w:hAnsi="Arial" w:cs="Arial"/>
          <w:sz w:val="20"/>
          <w:szCs w:val="20"/>
        </w:rPr>
      </w:pPr>
    </w:p>
    <w:p w:rsidR="00660775" w:rsidRDefault="00660775">
      <w:pPr>
        <w:rPr>
          <w:rFonts w:ascii="Arial" w:hAnsi="Arial" w:cs="Arial"/>
          <w:sz w:val="20"/>
          <w:szCs w:val="20"/>
        </w:rPr>
      </w:pPr>
    </w:p>
    <w:p w:rsidR="00660775" w:rsidRDefault="00660775">
      <w:pPr>
        <w:rPr>
          <w:rFonts w:ascii="Arial" w:hAnsi="Arial" w:cs="Arial"/>
          <w:sz w:val="20"/>
          <w:szCs w:val="20"/>
        </w:rPr>
      </w:pPr>
    </w:p>
    <w:p w:rsidR="00660775" w:rsidRDefault="00660775">
      <w:pPr>
        <w:rPr>
          <w:rFonts w:ascii="Arial" w:hAnsi="Arial" w:cs="Arial"/>
          <w:sz w:val="20"/>
          <w:szCs w:val="20"/>
        </w:rPr>
      </w:pPr>
    </w:p>
    <w:p w:rsidR="00660775" w:rsidRDefault="00660775">
      <w:pPr>
        <w:rPr>
          <w:rFonts w:ascii="Arial" w:hAnsi="Arial" w:cs="Arial"/>
          <w:sz w:val="20"/>
          <w:szCs w:val="20"/>
        </w:rPr>
      </w:pPr>
    </w:p>
    <w:p w:rsidR="00660775" w:rsidRDefault="00660775">
      <w:pPr>
        <w:rPr>
          <w:rFonts w:ascii="Arial" w:hAnsi="Arial" w:cs="Arial"/>
          <w:sz w:val="20"/>
          <w:szCs w:val="20"/>
        </w:rPr>
      </w:pPr>
    </w:p>
    <w:p w:rsidR="00660775" w:rsidRDefault="00660775">
      <w:pPr>
        <w:rPr>
          <w:rFonts w:ascii="Arial" w:hAnsi="Arial" w:cs="Arial"/>
          <w:sz w:val="20"/>
          <w:szCs w:val="20"/>
        </w:rPr>
      </w:pPr>
    </w:p>
    <w:p w:rsidR="00660775" w:rsidRDefault="00660775">
      <w:pPr>
        <w:rPr>
          <w:rFonts w:ascii="Arial" w:hAnsi="Arial" w:cs="Arial"/>
          <w:sz w:val="20"/>
          <w:szCs w:val="20"/>
        </w:rPr>
      </w:pPr>
    </w:p>
    <w:p w:rsidR="00660775" w:rsidRDefault="00660775">
      <w:pPr>
        <w:rPr>
          <w:rFonts w:ascii="Arial" w:hAnsi="Arial" w:cs="Arial"/>
          <w:sz w:val="20"/>
          <w:szCs w:val="20"/>
        </w:rPr>
      </w:pPr>
    </w:p>
    <w:p w:rsidR="00660775" w:rsidRDefault="00660775">
      <w:pPr>
        <w:rPr>
          <w:rFonts w:ascii="Arial" w:hAnsi="Arial" w:cs="Arial"/>
          <w:sz w:val="20"/>
          <w:szCs w:val="20"/>
        </w:rPr>
      </w:pPr>
    </w:p>
    <w:p w:rsidR="00660775" w:rsidRDefault="00660775">
      <w:pPr>
        <w:rPr>
          <w:rFonts w:ascii="Arial" w:hAnsi="Arial" w:cs="Arial"/>
          <w:sz w:val="20"/>
          <w:szCs w:val="20"/>
        </w:rPr>
      </w:pPr>
    </w:p>
    <w:p w:rsidR="00660775" w:rsidRDefault="00660775">
      <w:pPr>
        <w:rPr>
          <w:rFonts w:ascii="Arial" w:hAnsi="Arial" w:cs="Arial"/>
          <w:sz w:val="20"/>
          <w:szCs w:val="20"/>
        </w:rPr>
      </w:pPr>
    </w:p>
    <w:p w:rsidR="00660775" w:rsidRDefault="00660775">
      <w:pPr>
        <w:rPr>
          <w:rFonts w:ascii="Arial" w:hAnsi="Arial" w:cs="Arial"/>
          <w:sz w:val="20"/>
          <w:szCs w:val="20"/>
        </w:rPr>
      </w:pPr>
    </w:p>
    <w:p w:rsidR="00660775" w:rsidRDefault="00660775">
      <w:pPr>
        <w:rPr>
          <w:rFonts w:ascii="Arial" w:hAnsi="Arial" w:cs="Arial"/>
          <w:sz w:val="20"/>
          <w:szCs w:val="20"/>
        </w:rPr>
      </w:pPr>
    </w:p>
    <w:p w:rsidR="00660775" w:rsidRDefault="00660775">
      <w:pPr>
        <w:rPr>
          <w:rFonts w:ascii="Arial" w:hAnsi="Arial" w:cs="Arial"/>
          <w:sz w:val="20"/>
          <w:szCs w:val="20"/>
        </w:rPr>
      </w:pPr>
    </w:p>
    <w:p w:rsidR="00660775" w:rsidRDefault="00660775">
      <w:pPr>
        <w:rPr>
          <w:rFonts w:ascii="Arial" w:hAnsi="Arial" w:cs="Arial"/>
          <w:sz w:val="20"/>
          <w:szCs w:val="20"/>
        </w:rPr>
      </w:pPr>
    </w:p>
    <w:p w:rsidR="00660775" w:rsidRDefault="00660775">
      <w:pPr>
        <w:rPr>
          <w:rFonts w:ascii="Arial" w:hAnsi="Arial" w:cs="Arial"/>
          <w:sz w:val="20"/>
          <w:szCs w:val="20"/>
        </w:rPr>
      </w:pPr>
    </w:p>
    <w:p w:rsidR="00660775" w:rsidRDefault="00660775">
      <w:pPr>
        <w:rPr>
          <w:rFonts w:ascii="Arial" w:hAnsi="Arial" w:cs="Arial"/>
          <w:sz w:val="20"/>
          <w:szCs w:val="20"/>
        </w:rPr>
      </w:pPr>
    </w:p>
    <w:p w:rsidR="00660775" w:rsidRDefault="00660775">
      <w:pPr>
        <w:rPr>
          <w:rFonts w:ascii="Arial" w:hAnsi="Arial" w:cs="Arial"/>
          <w:sz w:val="20"/>
          <w:szCs w:val="20"/>
        </w:rPr>
      </w:pPr>
    </w:p>
    <w:p w:rsidR="00660775" w:rsidRDefault="00660775">
      <w:pPr>
        <w:rPr>
          <w:rFonts w:ascii="Arial" w:hAnsi="Arial" w:cs="Arial"/>
          <w:sz w:val="20"/>
          <w:szCs w:val="20"/>
        </w:rPr>
      </w:pPr>
    </w:p>
    <w:p w:rsidR="00660775" w:rsidRDefault="00660775">
      <w:pPr>
        <w:rPr>
          <w:rFonts w:ascii="Arial" w:hAnsi="Arial" w:cs="Arial"/>
          <w:sz w:val="20"/>
          <w:szCs w:val="20"/>
        </w:rPr>
      </w:pPr>
    </w:p>
    <w:p w:rsidR="00660775" w:rsidRDefault="00660775">
      <w:pPr>
        <w:rPr>
          <w:rFonts w:ascii="Arial" w:hAnsi="Arial" w:cs="Arial"/>
          <w:sz w:val="20"/>
          <w:szCs w:val="20"/>
        </w:rPr>
      </w:pPr>
    </w:p>
    <w:p w:rsidR="00660775" w:rsidRDefault="00660775">
      <w:pPr>
        <w:rPr>
          <w:rFonts w:ascii="Arial" w:hAnsi="Arial" w:cs="Arial"/>
          <w:sz w:val="20"/>
          <w:szCs w:val="20"/>
        </w:rPr>
      </w:pPr>
    </w:p>
    <w:p w:rsidR="00660775" w:rsidRDefault="00660775">
      <w:pPr>
        <w:rPr>
          <w:rFonts w:ascii="Arial" w:hAnsi="Arial" w:cs="Arial"/>
          <w:sz w:val="20"/>
          <w:szCs w:val="20"/>
        </w:rPr>
      </w:pPr>
    </w:p>
    <w:p w:rsidR="00660775" w:rsidRDefault="00660775">
      <w:pPr>
        <w:rPr>
          <w:rFonts w:ascii="Arial" w:hAnsi="Arial" w:cs="Arial"/>
          <w:sz w:val="20"/>
          <w:szCs w:val="20"/>
        </w:rPr>
      </w:pPr>
    </w:p>
    <w:p w:rsidR="00660775" w:rsidRDefault="00660775">
      <w:pPr>
        <w:rPr>
          <w:rFonts w:ascii="Arial" w:hAnsi="Arial" w:cs="Arial"/>
          <w:sz w:val="20"/>
          <w:szCs w:val="20"/>
        </w:rPr>
      </w:pPr>
    </w:p>
    <w:p w:rsidR="00660775" w:rsidRDefault="00660775">
      <w:pPr>
        <w:rPr>
          <w:rFonts w:ascii="Arial" w:hAnsi="Arial" w:cs="Arial"/>
          <w:sz w:val="20"/>
          <w:szCs w:val="20"/>
        </w:rPr>
      </w:pPr>
    </w:p>
    <w:p w:rsidR="00660775" w:rsidRDefault="00660775">
      <w:pPr>
        <w:rPr>
          <w:rFonts w:ascii="Arial" w:hAnsi="Arial" w:cs="Arial"/>
          <w:sz w:val="20"/>
          <w:szCs w:val="20"/>
        </w:rPr>
      </w:pPr>
    </w:p>
    <w:p w:rsidR="00660775" w:rsidRDefault="00660775">
      <w:pPr>
        <w:rPr>
          <w:rFonts w:ascii="Arial" w:hAnsi="Arial" w:cs="Arial"/>
          <w:sz w:val="20"/>
          <w:szCs w:val="20"/>
        </w:rPr>
      </w:pPr>
    </w:p>
    <w:p w:rsidR="00660775" w:rsidRDefault="00660775">
      <w:pPr>
        <w:rPr>
          <w:rFonts w:ascii="Arial" w:hAnsi="Arial" w:cs="Arial"/>
          <w:sz w:val="20"/>
          <w:szCs w:val="20"/>
        </w:rPr>
      </w:pPr>
    </w:p>
    <w:p w:rsidR="00660775" w:rsidRDefault="00660775">
      <w:pPr>
        <w:rPr>
          <w:rFonts w:ascii="Arial" w:hAnsi="Arial" w:cs="Arial"/>
          <w:sz w:val="20"/>
          <w:szCs w:val="20"/>
        </w:rPr>
      </w:pPr>
    </w:p>
    <w:p w:rsidR="00660775" w:rsidRDefault="00660775" w:rsidP="0066077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25.2.2011</w:t>
      </w:r>
    </w:p>
    <w:p w:rsidR="00660775" w:rsidRDefault="00660775">
      <w:pPr>
        <w:rPr>
          <w:rFonts w:ascii="Arial" w:hAnsi="Arial" w:cs="Arial"/>
          <w:sz w:val="20"/>
          <w:szCs w:val="20"/>
        </w:rPr>
      </w:pPr>
    </w:p>
    <w:sectPr w:rsidR="0066077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FFFFFFFF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FFFFF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51565327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660775"/>
    <w:rsid w:val="0082573A"/>
    <w:rsid w:val="00F3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92BE44-64CB-0742-B3F1-813DE826D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566</Characters>
  <Application>Microsoft Office Word</Application>
  <DocSecurity>4</DocSecurity>
  <Lines>4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Reiheneinbau-Ausschaltvorwarner kombinierbar mit Treppenlichtzeitschalter (ELPA 4)</vt:lpstr>
      <vt:lpstr>Reiheneinbau-Ausschaltvorwarner kombinierbar mit Treppenlichtzeitschalter (ELPA 4)</vt:lpstr>
    </vt:vector>
  </TitlesOfParts>
  <Company>Theben AG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2026-10-16T11:54:00Z</dcterms:created>
  <dcterms:modified xsi:type="dcterms:W3CDTF">2026-10-16T11:54:00Z</dcterms:modified>
</cp:coreProperties>
</file>